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2F" w:rsidRPr="00E042D0" w:rsidRDefault="009B502F" w:rsidP="009B502F">
      <w:pPr>
        <w:jc w:val="right"/>
        <w:rPr>
          <w:rFonts w:ascii="Maiandra GD" w:hAnsi="Maiandra GD"/>
          <w:b/>
          <w:szCs w:val="24"/>
        </w:rPr>
      </w:pPr>
      <w:r w:rsidRPr="00E042D0">
        <w:rPr>
          <w:rFonts w:ascii="Maiandra GD" w:hAnsi="Maiandra GD"/>
          <w:b/>
          <w:szCs w:val="24"/>
        </w:rPr>
        <w:t>ASPECTOS A EVALUAR</w:t>
      </w:r>
    </w:p>
    <w:p w:rsidR="009B502F" w:rsidRPr="00E042D0" w:rsidRDefault="009B502F" w:rsidP="009B502F">
      <w:pPr>
        <w:spacing w:after="0"/>
        <w:jc w:val="both"/>
        <w:rPr>
          <w:rFonts w:ascii="Maiandra GD" w:hAnsi="Maiandra GD" w:cs="Arial"/>
          <w:sz w:val="18"/>
          <w:szCs w:val="20"/>
        </w:rPr>
      </w:pPr>
      <w:r w:rsidRPr="00E042D0">
        <w:rPr>
          <w:rFonts w:ascii="Maiandra GD" w:hAnsi="Maiandra GD" w:cs="Arial"/>
          <w:sz w:val="18"/>
          <w:szCs w:val="20"/>
        </w:rPr>
        <w:t>En la fecha del primer parcial de evaluación, se emitirán las calificaciones de las unidades I, II</w:t>
      </w:r>
      <w:r w:rsidR="00EB7A67" w:rsidRPr="00E042D0">
        <w:rPr>
          <w:rFonts w:ascii="Maiandra GD" w:hAnsi="Maiandra GD" w:cs="Arial"/>
          <w:sz w:val="18"/>
          <w:szCs w:val="20"/>
        </w:rPr>
        <w:t xml:space="preserve"> </w:t>
      </w:r>
      <w:r w:rsidRPr="00E042D0">
        <w:rPr>
          <w:rFonts w:ascii="Maiandra GD" w:hAnsi="Maiandra GD" w:cs="Arial"/>
          <w:sz w:val="18"/>
          <w:szCs w:val="20"/>
        </w:rPr>
        <w:t xml:space="preserve">y de las prácticas hasta la </w:t>
      </w:r>
      <w:r w:rsidR="00E042D0" w:rsidRPr="00E042D0">
        <w:rPr>
          <w:rFonts w:ascii="Maiandra GD" w:hAnsi="Maiandra GD" w:cs="Arial"/>
          <w:sz w:val="18"/>
          <w:szCs w:val="20"/>
        </w:rPr>
        <w:t>7</w:t>
      </w:r>
      <w:r w:rsidRPr="00E042D0">
        <w:rPr>
          <w:rFonts w:ascii="Maiandra GD" w:hAnsi="Maiandra GD" w:cs="Arial"/>
          <w:sz w:val="18"/>
          <w:szCs w:val="20"/>
        </w:rPr>
        <w:t>ª semana. Así mismo   para el segundo parcial de la Unida</w:t>
      </w:r>
      <w:r w:rsidR="00EB7A67" w:rsidRPr="00E042D0">
        <w:rPr>
          <w:rFonts w:ascii="Maiandra GD" w:hAnsi="Maiandra GD" w:cs="Arial"/>
          <w:sz w:val="18"/>
          <w:szCs w:val="20"/>
        </w:rPr>
        <w:t xml:space="preserve">d </w:t>
      </w:r>
      <w:r w:rsidR="00E042D0" w:rsidRPr="00E042D0">
        <w:rPr>
          <w:rFonts w:ascii="Maiandra GD" w:hAnsi="Maiandra GD" w:cs="Arial"/>
          <w:sz w:val="18"/>
          <w:szCs w:val="20"/>
        </w:rPr>
        <w:t>III y IV</w:t>
      </w:r>
      <w:r w:rsidRPr="00E042D0">
        <w:rPr>
          <w:rFonts w:ascii="Maiandra GD" w:hAnsi="Maiandra GD" w:cs="Arial"/>
          <w:sz w:val="18"/>
          <w:szCs w:val="20"/>
        </w:rPr>
        <w:t>, prácticas hasta la 1</w:t>
      </w:r>
      <w:r w:rsidR="008C1FBA" w:rsidRPr="00E042D0">
        <w:rPr>
          <w:rFonts w:ascii="Maiandra GD" w:hAnsi="Maiandra GD" w:cs="Arial"/>
          <w:sz w:val="18"/>
          <w:szCs w:val="20"/>
        </w:rPr>
        <w:t>6</w:t>
      </w:r>
      <w:r w:rsidRPr="00E042D0">
        <w:rPr>
          <w:rFonts w:ascii="Maiandra GD" w:hAnsi="Maiandra GD" w:cs="Arial"/>
          <w:sz w:val="18"/>
          <w:szCs w:val="20"/>
        </w:rPr>
        <w:t>ª semana</w:t>
      </w:r>
      <w:r w:rsidR="00EB7A67" w:rsidRPr="00E042D0">
        <w:rPr>
          <w:rFonts w:ascii="Maiandra GD" w:hAnsi="Maiandra GD" w:cs="Arial"/>
          <w:sz w:val="18"/>
          <w:szCs w:val="20"/>
        </w:rPr>
        <w:t>.</w:t>
      </w:r>
    </w:p>
    <w:p w:rsidR="009B502F" w:rsidRPr="00E042D0" w:rsidRDefault="009B502F" w:rsidP="009B502F">
      <w:pPr>
        <w:jc w:val="both"/>
        <w:rPr>
          <w:rFonts w:ascii="Maiandra GD" w:hAnsi="Maiandra GD" w:cs="Arial"/>
          <w:sz w:val="18"/>
          <w:szCs w:val="20"/>
        </w:rPr>
      </w:pPr>
      <w:r w:rsidRPr="00E042D0">
        <w:rPr>
          <w:rFonts w:ascii="Maiandra GD" w:hAnsi="Maiandra GD" w:cs="Arial"/>
          <w:sz w:val="18"/>
          <w:szCs w:val="20"/>
        </w:rPr>
        <w:t>El curso se acredita cumpliendo con los requisitos antes mencionados y con una calificación aprobatoria mínima de 6.0 Así mismo tendrá el derecho a exentar el examen Ordinario o Final con un promedio de 8.0 para el primer y segundo parciales. Presentará Examen Final con 80% de asistencia.</w:t>
      </w:r>
    </w:p>
    <w:p w:rsidR="007E7292" w:rsidRPr="00E042D0" w:rsidRDefault="007E7292" w:rsidP="007E7292">
      <w:pPr>
        <w:spacing w:after="0"/>
        <w:jc w:val="both"/>
        <w:rPr>
          <w:rFonts w:ascii="Maiandra GD" w:hAnsi="Maiandra GD"/>
          <w:sz w:val="18"/>
          <w:szCs w:val="20"/>
          <w:lang w:val="es-ES"/>
        </w:rPr>
      </w:pPr>
      <w:r w:rsidRPr="00E042D0">
        <w:rPr>
          <w:rFonts w:ascii="Maiandra GD" w:hAnsi="Maiandra GD" w:cs="Arial"/>
          <w:sz w:val="18"/>
          <w:szCs w:val="20"/>
        </w:rPr>
        <w:t>Los aspectos a evaluar a través de exámenes parciales y prácticas se resumen en el cuadro siguiente:</w:t>
      </w:r>
    </w:p>
    <w:tbl>
      <w:tblPr>
        <w:tblpPr w:leftFromText="141" w:rightFromText="141" w:vertAnchor="text" w:horzAnchor="margin" w:tblpY="159"/>
        <w:tblW w:w="3940" w:type="dxa"/>
        <w:tblLayout w:type="fixed"/>
        <w:tblCellMar>
          <w:top w:w="55" w:type="dxa"/>
          <w:left w:w="55" w:type="dxa"/>
          <w:bottom w:w="55" w:type="dxa"/>
          <w:right w:w="55" w:type="dxa"/>
        </w:tblCellMar>
        <w:tblLook w:val="0000" w:firstRow="0" w:lastRow="0" w:firstColumn="0" w:lastColumn="0" w:noHBand="0" w:noVBand="0"/>
      </w:tblPr>
      <w:tblGrid>
        <w:gridCol w:w="1430"/>
        <w:gridCol w:w="1631"/>
        <w:gridCol w:w="879"/>
      </w:tblGrid>
      <w:tr w:rsidR="00E042D0" w:rsidRPr="00E042D0" w:rsidTr="00E042D0">
        <w:trPr>
          <w:trHeight w:val="494"/>
        </w:trPr>
        <w:tc>
          <w:tcPr>
            <w:tcW w:w="1430" w:type="dxa"/>
            <w:tcBorders>
              <w:top w:val="single" w:sz="8" w:space="0" w:color="000000"/>
              <w:left w:val="single" w:sz="8" w:space="0" w:color="000000"/>
              <w:bottom w:val="single" w:sz="8" w:space="0" w:color="000000"/>
            </w:tcBorders>
          </w:tcPr>
          <w:p w:rsidR="00E042D0" w:rsidRPr="00E042D0" w:rsidRDefault="00E042D0" w:rsidP="00E042D0">
            <w:pPr>
              <w:suppressLineNumbers/>
              <w:suppressAutoHyphens/>
              <w:snapToGrid w:val="0"/>
              <w:spacing w:after="0" w:line="240" w:lineRule="auto"/>
              <w:jc w:val="center"/>
              <w:rPr>
                <w:rFonts w:ascii="Maiandra GD" w:eastAsia="Times New Roman" w:hAnsi="Maiandra GD" w:cs="Arial"/>
                <w:b/>
                <w:bCs/>
                <w:sz w:val="14"/>
                <w:szCs w:val="18"/>
                <w:lang w:val="es-ES" w:eastAsia="ar-SA"/>
              </w:rPr>
            </w:pPr>
            <w:r w:rsidRPr="00E042D0">
              <w:rPr>
                <w:rFonts w:ascii="Maiandra GD" w:eastAsia="Times New Roman" w:hAnsi="Maiandra GD" w:cs="Arial"/>
                <w:b/>
                <w:bCs/>
                <w:sz w:val="14"/>
                <w:szCs w:val="18"/>
                <w:lang w:val="es-ES" w:eastAsia="ar-SA"/>
              </w:rPr>
              <w:t>EVALUACIONES</w:t>
            </w:r>
          </w:p>
        </w:tc>
        <w:tc>
          <w:tcPr>
            <w:tcW w:w="1631" w:type="dxa"/>
            <w:tcBorders>
              <w:top w:val="single" w:sz="8" w:space="0" w:color="000000"/>
              <w:left w:val="single" w:sz="8" w:space="0" w:color="000000"/>
              <w:bottom w:val="single" w:sz="8" w:space="0" w:color="000000"/>
            </w:tcBorders>
          </w:tcPr>
          <w:p w:rsidR="00E042D0" w:rsidRPr="00E042D0" w:rsidRDefault="00E042D0" w:rsidP="00E042D0">
            <w:pPr>
              <w:suppressLineNumbers/>
              <w:suppressAutoHyphens/>
              <w:snapToGrid w:val="0"/>
              <w:spacing w:after="0" w:line="240" w:lineRule="auto"/>
              <w:jc w:val="center"/>
              <w:rPr>
                <w:rFonts w:ascii="Maiandra GD" w:eastAsia="Times New Roman" w:hAnsi="Maiandra GD" w:cs="Arial"/>
                <w:b/>
                <w:bCs/>
                <w:sz w:val="14"/>
                <w:szCs w:val="18"/>
                <w:lang w:val="es-ES" w:eastAsia="ar-SA"/>
              </w:rPr>
            </w:pPr>
            <w:r w:rsidRPr="00E042D0">
              <w:rPr>
                <w:rFonts w:ascii="Maiandra GD" w:eastAsia="Times New Roman" w:hAnsi="Maiandra GD" w:cs="Arial"/>
                <w:b/>
                <w:bCs/>
                <w:sz w:val="14"/>
                <w:szCs w:val="18"/>
                <w:lang w:val="es-ES" w:eastAsia="ar-SA"/>
              </w:rPr>
              <w:t>CRITERIOS DE EVALUACION Y ACREDITACIÓN</w:t>
            </w:r>
          </w:p>
        </w:tc>
        <w:tc>
          <w:tcPr>
            <w:tcW w:w="879" w:type="dxa"/>
            <w:tcBorders>
              <w:top w:val="single" w:sz="8" w:space="0" w:color="000000"/>
              <w:left w:val="single" w:sz="8" w:space="0" w:color="000000"/>
              <w:bottom w:val="single" w:sz="8" w:space="0" w:color="000000"/>
              <w:right w:val="single" w:sz="8" w:space="0" w:color="000000"/>
            </w:tcBorders>
          </w:tcPr>
          <w:p w:rsidR="00E042D0" w:rsidRPr="00E042D0" w:rsidRDefault="00E042D0" w:rsidP="00E042D0">
            <w:pPr>
              <w:suppressLineNumbers/>
              <w:suppressAutoHyphens/>
              <w:snapToGrid w:val="0"/>
              <w:spacing w:after="0" w:line="240" w:lineRule="auto"/>
              <w:jc w:val="center"/>
              <w:rPr>
                <w:rFonts w:ascii="Maiandra GD" w:eastAsia="Times New Roman" w:hAnsi="Maiandra GD" w:cs="Arial"/>
                <w:b/>
                <w:bCs/>
                <w:sz w:val="14"/>
                <w:szCs w:val="18"/>
                <w:lang w:val="es-ES" w:eastAsia="ar-SA"/>
              </w:rPr>
            </w:pPr>
            <w:r w:rsidRPr="00E042D0">
              <w:rPr>
                <w:rFonts w:ascii="Maiandra GD" w:eastAsia="Times New Roman" w:hAnsi="Maiandra GD" w:cs="Arial"/>
                <w:b/>
                <w:bCs/>
                <w:sz w:val="14"/>
                <w:szCs w:val="18"/>
                <w:lang w:val="es-ES" w:eastAsia="ar-SA"/>
              </w:rPr>
              <w:t>VALOR</w:t>
            </w:r>
          </w:p>
        </w:tc>
      </w:tr>
      <w:tr w:rsidR="00E042D0" w:rsidRPr="00E042D0" w:rsidTr="00E042D0">
        <w:trPr>
          <w:trHeight w:val="462"/>
        </w:trPr>
        <w:tc>
          <w:tcPr>
            <w:tcW w:w="1430" w:type="dxa"/>
            <w:tcBorders>
              <w:left w:val="single" w:sz="8" w:space="0" w:color="000000"/>
              <w:bottom w:val="single" w:sz="8" w:space="0" w:color="000000"/>
            </w:tcBorders>
          </w:tcPr>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r w:rsidRPr="00E042D0">
              <w:rPr>
                <w:rFonts w:ascii="Maiandra GD" w:eastAsia="Times New Roman" w:hAnsi="Maiandra GD" w:cs="Arial"/>
                <w:b/>
                <w:bCs/>
                <w:sz w:val="14"/>
                <w:szCs w:val="18"/>
                <w:lang w:val="es-ES" w:eastAsia="ar-SA"/>
              </w:rPr>
              <w:t>PRIMER EVALUACION PARCIAL</w:t>
            </w:r>
          </w:p>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p>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p>
        </w:tc>
        <w:tc>
          <w:tcPr>
            <w:tcW w:w="1631" w:type="dxa"/>
            <w:tcBorders>
              <w:left w:val="single" w:sz="8" w:space="0" w:color="000000"/>
              <w:bottom w:val="single" w:sz="8" w:space="0" w:color="000000"/>
            </w:tcBorders>
          </w:tcPr>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EXAMEN 30%</w:t>
            </w:r>
          </w:p>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PRACTICAS 70%</w:t>
            </w:r>
          </w:p>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p>
        </w:tc>
        <w:tc>
          <w:tcPr>
            <w:tcW w:w="879" w:type="dxa"/>
            <w:tcBorders>
              <w:left w:val="single" w:sz="8" w:space="0" w:color="000000"/>
              <w:bottom w:val="single" w:sz="8" w:space="0" w:color="000000"/>
              <w:right w:val="single" w:sz="8" w:space="0" w:color="000000"/>
            </w:tcBorders>
          </w:tcPr>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100%</w:t>
            </w:r>
          </w:p>
        </w:tc>
      </w:tr>
      <w:tr w:rsidR="00E042D0" w:rsidRPr="00E042D0" w:rsidTr="00E042D0">
        <w:trPr>
          <w:trHeight w:val="510"/>
        </w:trPr>
        <w:tc>
          <w:tcPr>
            <w:tcW w:w="1430" w:type="dxa"/>
            <w:tcBorders>
              <w:left w:val="single" w:sz="8" w:space="0" w:color="000000"/>
              <w:bottom w:val="single" w:sz="8" w:space="0" w:color="000000"/>
            </w:tcBorders>
          </w:tcPr>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r w:rsidRPr="00E042D0">
              <w:rPr>
                <w:rFonts w:ascii="Maiandra GD" w:eastAsia="Times New Roman" w:hAnsi="Maiandra GD" w:cs="Arial"/>
                <w:b/>
                <w:bCs/>
                <w:sz w:val="14"/>
                <w:szCs w:val="18"/>
                <w:lang w:val="es-ES" w:eastAsia="ar-SA"/>
              </w:rPr>
              <w:t>SEGUNDA EVALUACION PARCIAL</w:t>
            </w:r>
          </w:p>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p>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p>
        </w:tc>
        <w:tc>
          <w:tcPr>
            <w:tcW w:w="1631" w:type="dxa"/>
            <w:tcBorders>
              <w:left w:val="single" w:sz="8" w:space="0" w:color="000000"/>
              <w:bottom w:val="single" w:sz="8" w:space="0" w:color="000000"/>
            </w:tcBorders>
          </w:tcPr>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EXAMEN 30%</w:t>
            </w:r>
          </w:p>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PRACTICAS 70%</w:t>
            </w:r>
          </w:p>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p>
        </w:tc>
        <w:tc>
          <w:tcPr>
            <w:tcW w:w="879" w:type="dxa"/>
            <w:tcBorders>
              <w:left w:val="single" w:sz="8" w:space="0" w:color="000000"/>
              <w:bottom w:val="single" w:sz="8" w:space="0" w:color="000000"/>
              <w:right w:val="single" w:sz="8" w:space="0" w:color="000000"/>
            </w:tcBorders>
          </w:tcPr>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100%</w:t>
            </w:r>
          </w:p>
        </w:tc>
      </w:tr>
      <w:tr w:rsidR="00E042D0" w:rsidRPr="00E042D0" w:rsidTr="00E042D0">
        <w:trPr>
          <w:trHeight w:val="705"/>
        </w:trPr>
        <w:tc>
          <w:tcPr>
            <w:tcW w:w="1430" w:type="dxa"/>
            <w:tcBorders>
              <w:left w:val="single" w:sz="8" w:space="0" w:color="000000"/>
              <w:bottom w:val="single" w:sz="8" w:space="0" w:color="000000"/>
            </w:tcBorders>
          </w:tcPr>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r w:rsidRPr="00E042D0">
              <w:rPr>
                <w:rFonts w:ascii="Maiandra GD" w:eastAsia="Times New Roman" w:hAnsi="Maiandra GD" w:cs="Arial"/>
                <w:b/>
                <w:bCs/>
                <w:sz w:val="14"/>
                <w:szCs w:val="18"/>
                <w:lang w:val="es-ES" w:eastAsia="ar-SA"/>
              </w:rPr>
              <w:t>EVALUACIÓN FINAL, EXTRA Y TITULO.</w:t>
            </w:r>
          </w:p>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p>
          <w:p w:rsidR="00E042D0" w:rsidRPr="00E042D0" w:rsidRDefault="00E042D0" w:rsidP="00E042D0">
            <w:pPr>
              <w:suppressLineNumbers/>
              <w:suppressAutoHyphens/>
              <w:spacing w:after="0" w:line="240" w:lineRule="auto"/>
              <w:jc w:val="both"/>
              <w:rPr>
                <w:rFonts w:ascii="Maiandra GD" w:eastAsia="Times New Roman" w:hAnsi="Maiandra GD" w:cs="Arial"/>
                <w:b/>
                <w:bCs/>
                <w:sz w:val="14"/>
                <w:szCs w:val="18"/>
                <w:lang w:val="es-ES" w:eastAsia="ar-SA"/>
              </w:rPr>
            </w:pPr>
          </w:p>
        </w:tc>
        <w:tc>
          <w:tcPr>
            <w:tcW w:w="1631" w:type="dxa"/>
            <w:tcBorders>
              <w:left w:val="single" w:sz="8" w:space="0" w:color="000000"/>
              <w:bottom w:val="single" w:sz="8" w:space="0" w:color="000000"/>
            </w:tcBorders>
          </w:tcPr>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EXAMEN 100%</w:t>
            </w:r>
          </w:p>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p>
        </w:tc>
        <w:tc>
          <w:tcPr>
            <w:tcW w:w="879" w:type="dxa"/>
            <w:tcBorders>
              <w:left w:val="single" w:sz="8" w:space="0" w:color="000000"/>
              <w:bottom w:val="single" w:sz="8" w:space="0" w:color="000000"/>
              <w:right w:val="single" w:sz="8" w:space="0" w:color="000000"/>
            </w:tcBorders>
          </w:tcPr>
          <w:p w:rsidR="00E042D0" w:rsidRPr="00E042D0" w:rsidRDefault="00E042D0" w:rsidP="00E042D0">
            <w:pPr>
              <w:suppressLineNumbers/>
              <w:suppressAutoHyphens/>
              <w:snapToGrid w:val="0"/>
              <w:spacing w:after="0" w:line="240" w:lineRule="auto"/>
              <w:jc w:val="both"/>
              <w:rPr>
                <w:rFonts w:ascii="Maiandra GD" w:eastAsia="Times New Roman" w:hAnsi="Maiandra GD" w:cs="Arial"/>
                <w:b/>
                <w:sz w:val="14"/>
                <w:szCs w:val="18"/>
                <w:lang w:val="es-ES" w:eastAsia="ar-SA"/>
              </w:rPr>
            </w:pPr>
            <w:r w:rsidRPr="00E042D0">
              <w:rPr>
                <w:rFonts w:ascii="Maiandra GD" w:eastAsia="Times New Roman" w:hAnsi="Maiandra GD" w:cs="Arial"/>
                <w:b/>
                <w:sz w:val="14"/>
                <w:szCs w:val="18"/>
                <w:lang w:val="es-ES" w:eastAsia="ar-SA"/>
              </w:rPr>
              <w:t>100%</w:t>
            </w:r>
          </w:p>
        </w:tc>
      </w:tr>
    </w:tbl>
    <w:p w:rsidR="00615399" w:rsidRDefault="00615399" w:rsidP="00B549C3">
      <w:pPr>
        <w:suppressAutoHyphens/>
        <w:spacing w:after="0" w:line="240" w:lineRule="auto"/>
        <w:ind w:left="2124" w:firstLine="708"/>
        <w:rPr>
          <w:rFonts w:ascii="Maiandra GD" w:eastAsia="Times New Roman" w:hAnsi="Maiandra GD" w:cs="Arial"/>
          <w:b/>
          <w:szCs w:val="24"/>
          <w:lang w:val="es-ES" w:eastAsia="ar-SA"/>
        </w:rPr>
      </w:pPr>
    </w:p>
    <w:p w:rsidR="007E7292" w:rsidRPr="00615399" w:rsidRDefault="007E7292" w:rsidP="00B549C3">
      <w:pPr>
        <w:suppressAutoHyphens/>
        <w:spacing w:after="0" w:line="240" w:lineRule="auto"/>
        <w:ind w:left="2124" w:firstLine="708"/>
        <w:rPr>
          <w:rFonts w:ascii="Maiandra GD" w:eastAsia="Times New Roman" w:hAnsi="Maiandra GD" w:cs="Arial"/>
          <w:b/>
          <w:szCs w:val="24"/>
          <w:lang w:val="es-ES" w:eastAsia="ar-SA"/>
        </w:rPr>
      </w:pPr>
      <w:r w:rsidRPr="00615399">
        <w:rPr>
          <w:rFonts w:ascii="Maiandra GD" w:eastAsia="Times New Roman" w:hAnsi="Maiandra GD" w:cs="Arial"/>
          <w:b/>
          <w:szCs w:val="24"/>
          <w:lang w:val="es-ES" w:eastAsia="ar-SA"/>
        </w:rPr>
        <w:t>BIBLIOGRAFIA</w:t>
      </w:r>
    </w:p>
    <w:p w:rsidR="00E042D0" w:rsidRPr="00E042D0" w:rsidRDefault="00E042D0" w:rsidP="00E042D0">
      <w:p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Básico:</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Barroso, D., Orejón de Luna, G., y Fernández, M. (2004). Introducción a MEDLINE ya las búsquedas bibliográficas (II). Guía de uso de PubMed. Revista pediatría de atención primaria, 6(21), 77-112.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Bojo, C., Fraga, C., Hernández S., Jaén, B., Jiménez, V., Mohedano L., Novillo A. (2004). Internet visible e invisible. Búsqueda de selección y recursos de información en ciencias de la salud. Madrid, España: Instituto de Salud Carlos III. Recuperado de: http://gesdoc.isciii.es/gesdoccontroller?action=download&amp;id=15/10/2012 56e69679da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proofErr w:type="spellStart"/>
      <w:r w:rsidRPr="00E042D0">
        <w:rPr>
          <w:rFonts w:ascii="Maiandra GD" w:eastAsia="Times New Roman" w:hAnsi="Maiandra GD" w:cs="Arial"/>
          <w:b/>
          <w:i/>
          <w:sz w:val="14"/>
          <w:szCs w:val="16"/>
          <w:lang w:eastAsia="ar-SA"/>
        </w:rPr>
        <w:t>Coeira</w:t>
      </w:r>
      <w:proofErr w:type="spellEnd"/>
      <w:r w:rsidRPr="00E042D0">
        <w:rPr>
          <w:rFonts w:ascii="Maiandra GD" w:eastAsia="Times New Roman" w:hAnsi="Maiandra GD" w:cs="Arial"/>
          <w:b/>
          <w:i/>
          <w:sz w:val="14"/>
          <w:szCs w:val="16"/>
          <w:lang w:eastAsia="ar-SA"/>
        </w:rPr>
        <w:t xml:space="preserve">, E. (2005). Informática médica. México: Editorial Manual Moderno.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Luna, J., Requena. G. F. (2010). Manual de introducción al manejo de SPSS. México.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Pagano, J., Rossi, I., Rossi M., Triunfo, P. (2007). Introducción a STATA. Universidad de la República Facultad de Ciencias Sociales. Departamento de Economía. Recuperado de: http://cienciassociales.edu.uy/departamentodeeconomia/wpcontent/uploads/sites/2/2013/archivos/Nota17.pdf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San Mauro, I., González, M., y Collado, L., (2014). Aplicaciones móviles en nutrición, dietética y hábitos saludables: análisis y consecuencia de una tendencia al alza. Nutrición Hospitalaria, 30(1), 15-24. Recuperado de: http://scielo.isciii.es/scielo.php?pid=S021216112014000800002&amp;script=sci_arttext&amp;tlng=pt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Trueba, R., y Estrada, J., (2010). La base de datos PubMed y la búsqueda de información científica. Seminarios de la Fundación Española de Reumatología,11(2),49-63. Recuperado de: http://www.sciencedirect.com/science/article/pii/S1577356610000229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Valenzuela, J. (2016). Fundamentos de la informática en salud ¿Qué es, para qué nos sirve y a dónde nos va a </w:t>
      </w:r>
      <w:proofErr w:type="gramStart"/>
      <w:r w:rsidRPr="00E042D0">
        <w:rPr>
          <w:rFonts w:ascii="Maiandra GD" w:eastAsia="Times New Roman" w:hAnsi="Maiandra GD" w:cs="Arial"/>
          <w:b/>
          <w:i/>
          <w:sz w:val="14"/>
          <w:szCs w:val="16"/>
          <w:lang w:eastAsia="ar-SA"/>
        </w:rPr>
        <w:t>llevar?.</w:t>
      </w:r>
      <w:proofErr w:type="gramEnd"/>
      <w:r w:rsidRPr="00E042D0">
        <w:rPr>
          <w:rFonts w:ascii="Maiandra GD" w:eastAsia="Times New Roman" w:hAnsi="Maiandra GD" w:cs="Arial"/>
          <w:b/>
          <w:i/>
          <w:sz w:val="14"/>
          <w:szCs w:val="16"/>
          <w:lang w:eastAsia="ar-SA"/>
        </w:rPr>
        <w:t xml:space="preserve"> </w:t>
      </w:r>
      <w:proofErr w:type="spellStart"/>
      <w:r w:rsidRPr="00E042D0">
        <w:rPr>
          <w:rFonts w:ascii="Maiandra GD" w:eastAsia="Times New Roman" w:hAnsi="Maiandra GD" w:cs="Arial"/>
          <w:b/>
          <w:i/>
          <w:sz w:val="14"/>
          <w:szCs w:val="16"/>
          <w:lang w:eastAsia="ar-SA"/>
        </w:rPr>
        <w:t>ActA</w:t>
      </w:r>
      <w:proofErr w:type="spellEnd"/>
      <w:r w:rsidRPr="00E042D0">
        <w:rPr>
          <w:rFonts w:ascii="Maiandra GD" w:eastAsia="Times New Roman" w:hAnsi="Maiandra GD" w:cs="Arial"/>
          <w:b/>
          <w:i/>
          <w:sz w:val="14"/>
          <w:szCs w:val="16"/>
          <w:lang w:eastAsia="ar-SA"/>
        </w:rPr>
        <w:t xml:space="preserve"> Med </w:t>
      </w:r>
      <w:proofErr w:type="spellStart"/>
      <w:r w:rsidRPr="00E042D0">
        <w:rPr>
          <w:rFonts w:ascii="Maiandra GD" w:eastAsia="Times New Roman" w:hAnsi="Maiandra GD" w:cs="Arial"/>
          <w:b/>
          <w:i/>
          <w:sz w:val="14"/>
          <w:szCs w:val="16"/>
          <w:lang w:eastAsia="ar-SA"/>
        </w:rPr>
        <w:t>coloMb</w:t>
      </w:r>
      <w:proofErr w:type="spellEnd"/>
      <w:r w:rsidRPr="00E042D0">
        <w:rPr>
          <w:rFonts w:ascii="Maiandra GD" w:eastAsia="Times New Roman" w:hAnsi="Maiandra GD" w:cs="Arial"/>
          <w:b/>
          <w:i/>
          <w:sz w:val="14"/>
          <w:szCs w:val="16"/>
          <w:lang w:eastAsia="ar-SA"/>
        </w:rPr>
        <w:t xml:space="preserve">, 41 (3): 51–59. Recuperado de: http://www.actamedicacolombiana.com/anexo/articulos/2016/03S-2016-11.pdf.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Zapata, R.M, </w:t>
      </w:r>
      <w:proofErr w:type="spellStart"/>
      <w:r w:rsidRPr="00E042D0">
        <w:rPr>
          <w:rFonts w:ascii="Maiandra GD" w:eastAsia="Times New Roman" w:hAnsi="Maiandra GD" w:cs="Arial"/>
          <w:b/>
          <w:i/>
          <w:sz w:val="14"/>
          <w:szCs w:val="16"/>
          <w:lang w:eastAsia="ar-SA"/>
        </w:rPr>
        <w:t>Dalouh</w:t>
      </w:r>
      <w:proofErr w:type="spellEnd"/>
      <w:r w:rsidRPr="00E042D0">
        <w:rPr>
          <w:rFonts w:ascii="Maiandra GD" w:eastAsia="Times New Roman" w:hAnsi="Maiandra GD" w:cs="Arial"/>
          <w:b/>
          <w:i/>
          <w:sz w:val="14"/>
          <w:szCs w:val="16"/>
          <w:lang w:eastAsia="ar-SA"/>
        </w:rPr>
        <w:t xml:space="preserve">, R., Cala, V., González, J. (2017). Educación, salud y TIC en contextos multiculturales: Nuevos espacios de intervención. España: Editorial Universidad de Almería. </w:t>
      </w:r>
    </w:p>
    <w:p w:rsidR="00E042D0" w:rsidRPr="00E042D0" w:rsidRDefault="00E042D0" w:rsidP="00E042D0">
      <w:p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Complementario:</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Cobos, J. y Miranda, J. (2016). Diseño e implementación de un software educativo para el aprendizaje del SPSS y su aplicación en organización de datos categóricos en tablas estadísticas y diagramas. Para estudiantes de séptimo nivel de la Carrera de Informática de la UCE (</w:t>
      </w:r>
      <w:proofErr w:type="spellStart"/>
      <w:r w:rsidRPr="00E042D0">
        <w:rPr>
          <w:rFonts w:ascii="Maiandra GD" w:eastAsia="Times New Roman" w:hAnsi="Maiandra GD" w:cs="Arial"/>
          <w:b/>
          <w:i/>
          <w:sz w:val="14"/>
          <w:szCs w:val="16"/>
          <w:lang w:eastAsia="ar-SA"/>
        </w:rPr>
        <w:t>Bachelor's</w:t>
      </w:r>
      <w:proofErr w:type="spellEnd"/>
      <w:r w:rsidRPr="00E042D0">
        <w:rPr>
          <w:rFonts w:ascii="Maiandra GD" w:eastAsia="Times New Roman" w:hAnsi="Maiandra GD" w:cs="Arial"/>
          <w:b/>
          <w:i/>
          <w:sz w:val="14"/>
          <w:szCs w:val="16"/>
          <w:lang w:eastAsia="ar-SA"/>
        </w:rPr>
        <w:t xml:space="preserve"> </w:t>
      </w:r>
      <w:proofErr w:type="spellStart"/>
      <w:r w:rsidRPr="00E042D0">
        <w:rPr>
          <w:rFonts w:ascii="Maiandra GD" w:eastAsia="Times New Roman" w:hAnsi="Maiandra GD" w:cs="Arial"/>
          <w:b/>
          <w:i/>
          <w:sz w:val="14"/>
          <w:szCs w:val="16"/>
          <w:lang w:eastAsia="ar-SA"/>
        </w:rPr>
        <w:t>thesis</w:t>
      </w:r>
      <w:proofErr w:type="spellEnd"/>
      <w:r w:rsidRPr="00E042D0">
        <w:rPr>
          <w:rFonts w:ascii="Maiandra GD" w:eastAsia="Times New Roman" w:hAnsi="Maiandra GD" w:cs="Arial"/>
          <w:b/>
          <w:i/>
          <w:sz w:val="14"/>
          <w:szCs w:val="16"/>
          <w:lang w:eastAsia="ar-SA"/>
        </w:rPr>
        <w:t xml:space="preserve">, Quito: UCE).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Soler, M. (2015). Revisión crítica de APPS en relación con los hábitos saludables.  Universidad de Valladolid. Facultad de Enfermería de Valladolid. Recuperado de: http://uvadoc.uva.es/bitstream/10324/11850/1/TFG-H189.pdf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Pale, M. y Buen, A. (2012) Educación en alimentación y nutrición. AMMFEN. Intersistemas Editores. México. </w:t>
      </w:r>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 xml:space="preserve">Prensky M. (2010) Nativos y Migrantes digitales. Recuperado de: </w:t>
      </w:r>
      <w:hyperlink r:id="rId5" w:history="1">
        <w:r w:rsidRPr="00E042D0">
          <w:rPr>
            <w:rStyle w:val="Hipervnculo"/>
            <w:rFonts w:ascii="Maiandra GD" w:eastAsia="Times New Roman" w:hAnsi="Maiandra GD" w:cs="Arial"/>
            <w:b/>
            <w:i/>
            <w:sz w:val="14"/>
            <w:szCs w:val="16"/>
            <w:lang w:eastAsia="ar-SA"/>
          </w:rPr>
          <w:t>https://www.marcprensky.com/writing/PrenskyNATIVOS%20E%20INMIGRANTES%20DIGITALES%20(SEK).pdf</w:t>
        </w:r>
      </w:hyperlink>
    </w:p>
    <w:p w:rsidR="00E042D0" w:rsidRPr="00E042D0" w:rsidRDefault="00E042D0"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r w:rsidRPr="00E042D0">
        <w:rPr>
          <w:rFonts w:ascii="Maiandra GD" w:eastAsia="Times New Roman" w:hAnsi="Maiandra GD" w:cs="Arial"/>
          <w:b/>
          <w:i/>
          <w:sz w:val="14"/>
          <w:szCs w:val="16"/>
          <w:lang w:eastAsia="ar-SA"/>
        </w:rPr>
        <w:t>Muñoz, E. (2014) Uso didáctico de las infografías. España. Recuperado de: http://repositorio.ual.es/bitstream/handle/10835/5544/969-3340-1-PB.pdf?sequence=1</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6" w:history="1">
        <w:r w:rsidR="00E042D0" w:rsidRPr="00E042D0">
          <w:rPr>
            <w:rStyle w:val="Hipervnculo"/>
            <w:rFonts w:ascii="Maiandra GD" w:eastAsia="Times New Roman" w:hAnsi="Maiandra GD" w:cs="Arial"/>
            <w:b/>
            <w:i/>
            <w:sz w:val="14"/>
            <w:szCs w:val="16"/>
            <w:lang w:eastAsia="ar-SA"/>
          </w:rPr>
          <w:t>http://bibliotecadigital.uaemex.mx/contador/basesdedatos1.php</w:t>
        </w:r>
      </w:hyperlink>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7" w:history="1">
        <w:r w:rsidR="00E042D0" w:rsidRPr="00E042D0">
          <w:rPr>
            <w:rStyle w:val="Hipervnculo"/>
            <w:rFonts w:ascii="Maiandra GD" w:eastAsia="Times New Roman" w:hAnsi="Maiandra GD" w:cs="Arial"/>
            <w:b/>
            <w:i/>
            <w:sz w:val="14"/>
            <w:szCs w:val="16"/>
            <w:lang w:eastAsia="ar-SA"/>
          </w:rPr>
          <w:t>http://biblioteca.uicui.edu.mx/index.php</w:t>
        </w:r>
      </w:hyperlink>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8" w:history="1">
        <w:r w:rsidR="00E042D0" w:rsidRPr="00E042D0">
          <w:rPr>
            <w:rStyle w:val="Hipervnculo"/>
            <w:rFonts w:ascii="Maiandra GD" w:eastAsia="Times New Roman" w:hAnsi="Maiandra GD" w:cs="Arial"/>
            <w:b/>
            <w:i/>
            <w:sz w:val="14"/>
            <w:szCs w:val="16"/>
            <w:lang w:eastAsia="ar-SA"/>
          </w:rPr>
          <w:t>https://scholar.google.com.mx/</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9" w:history="1">
        <w:r w:rsidR="00E042D0" w:rsidRPr="00E042D0">
          <w:rPr>
            <w:rStyle w:val="Hipervnculo"/>
            <w:rFonts w:ascii="Maiandra GD" w:eastAsia="Times New Roman" w:hAnsi="Maiandra GD" w:cs="Arial"/>
            <w:b/>
            <w:i/>
            <w:sz w:val="14"/>
            <w:szCs w:val="16"/>
            <w:lang w:eastAsia="ar-SA"/>
          </w:rPr>
          <w:t>https://www.ncbi.nlm</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0" w:history="1">
        <w:r w:rsidR="00E042D0" w:rsidRPr="00E042D0">
          <w:rPr>
            <w:rStyle w:val="Hipervnculo"/>
            <w:rFonts w:ascii="Maiandra GD" w:eastAsia="Times New Roman" w:hAnsi="Maiandra GD" w:cs="Arial"/>
            <w:b/>
            <w:i/>
            <w:sz w:val="14"/>
            <w:szCs w:val="16"/>
            <w:lang w:eastAsia="ar-SA"/>
          </w:rPr>
          <w:t>http://www.redalyc.org/</w:t>
        </w:r>
      </w:hyperlink>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1" w:history="1">
        <w:r w:rsidR="00E042D0" w:rsidRPr="00E042D0">
          <w:rPr>
            <w:rStyle w:val="Hipervnculo"/>
            <w:rFonts w:ascii="Maiandra GD" w:eastAsia="Times New Roman" w:hAnsi="Maiandra GD" w:cs="Arial"/>
            <w:b/>
            <w:i/>
            <w:sz w:val="14"/>
            <w:szCs w:val="16"/>
            <w:lang w:eastAsia="ar-SA"/>
          </w:rPr>
          <w:t>https://www.elsevier.es/corp/</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2" w:history="1">
        <w:r w:rsidR="00E042D0" w:rsidRPr="00E042D0">
          <w:rPr>
            <w:rStyle w:val="Hipervnculo"/>
            <w:rFonts w:ascii="Maiandra GD" w:eastAsia="Times New Roman" w:hAnsi="Maiandra GD" w:cs="Arial"/>
            <w:b/>
            <w:i/>
            <w:sz w:val="14"/>
            <w:szCs w:val="16"/>
            <w:lang w:eastAsia="ar-SA"/>
          </w:rPr>
          <w:t>http://www.scielo.org/php/index.php?lang=es</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3" w:history="1">
        <w:r w:rsidR="00E042D0" w:rsidRPr="00E042D0">
          <w:rPr>
            <w:rStyle w:val="Hipervnculo"/>
            <w:rFonts w:ascii="Maiandra GD" w:eastAsia="Times New Roman" w:hAnsi="Maiandra GD" w:cs="Arial"/>
            <w:b/>
            <w:i/>
            <w:sz w:val="14"/>
            <w:szCs w:val="16"/>
            <w:lang w:eastAsia="ar-SA"/>
          </w:rPr>
          <w:t>http://www.nutrimind.net/</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4" w:history="1">
        <w:r w:rsidR="00E042D0" w:rsidRPr="00E042D0">
          <w:rPr>
            <w:rStyle w:val="Hipervnculo"/>
            <w:rFonts w:ascii="Maiandra GD" w:eastAsia="Times New Roman" w:hAnsi="Maiandra GD" w:cs="Arial"/>
            <w:b/>
            <w:i/>
            <w:sz w:val="14"/>
            <w:szCs w:val="16"/>
            <w:lang w:eastAsia="ar-SA"/>
          </w:rPr>
          <w:t>http://nutrikcal.mx/NutrikcalVO.htm</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5" w:history="1">
        <w:r w:rsidR="00E042D0" w:rsidRPr="00E042D0">
          <w:rPr>
            <w:rStyle w:val="Hipervnculo"/>
            <w:rFonts w:ascii="Maiandra GD" w:eastAsia="Times New Roman" w:hAnsi="Maiandra GD" w:cs="Arial"/>
            <w:b/>
            <w:i/>
            <w:sz w:val="14"/>
            <w:szCs w:val="16"/>
            <w:lang w:eastAsia="ar-SA"/>
          </w:rPr>
          <w:t>http://nutrikcal.mx/NutrikcalSA.htm</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6" w:history="1">
        <w:r w:rsidR="00E042D0" w:rsidRPr="00E042D0">
          <w:rPr>
            <w:rStyle w:val="Hipervnculo"/>
            <w:rFonts w:ascii="Maiandra GD" w:eastAsia="Times New Roman" w:hAnsi="Maiandra GD" w:cs="Arial"/>
            <w:b/>
            <w:i/>
            <w:sz w:val="14"/>
            <w:szCs w:val="16"/>
            <w:lang w:eastAsia="ar-SA"/>
          </w:rPr>
          <w:t>www.spssfree.com</w:t>
        </w:r>
      </w:hyperlink>
      <w:r w:rsidR="00E042D0" w:rsidRPr="00E042D0">
        <w:rPr>
          <w:rFonts w:ascii="Maiandra GD" w:eastAsia="Times New Roman" w:hAnsi="Maiandra GD" w:cs="Arial"/>
          <w:b/>
          <w:i/>
          <w:sz w:val="14"/>
          <w:szCs w:val="16"/>
          <w:lang w:eastAsia="ar-SA"/>
        </w:rPr>
        <w:t xml:space="preserve"> </w:t>
      </w:r>
    </w:p>
    <w:p w:rsidR="00E042D0" w:rsidRPr="00E042D0" w:rsidRDefault="001E5D5C" w:rsidP="00E042D0">
      <w:pPr>
        <w:numPr>
          <w:ilvl w:val="0"/>
          <w:numId w:val="6"/>
        </w:numPr>
        <w:suppressAutoHyphens/>
        <w:spacing w:after="0" w:line="240" w:lineRule="auto"/>
        <w:contextualSpacing/>
        <w:jc w:val="both"/>
        <w:rPr>
          <w:rFonts w:ascii="Maiandra GD" w:eastAsia="Times New Roman" w:hAnsi="Maiandra GD" w:cs="Arial"/>
          <w:b/>
          <w:i/>
          <w:sz w:val="14"/>
          <w:szCs w:val="16"/>
          <w:lang w:eastAsia="ar-SA"/>
        </w:rPr>
      </w:pPr>
      <w:hyperlink r:id="rId17" w:history="1">
        <w:r w:rsidR="00E042D0" w:rsidRPr="00E042D0">
          <w:rPr>
            <w:rStyle w:val="Hipervnculo"/>
            <w:rFonts w:ascii="Maiandra GD" w:eastAsia="Times New Roman" w:hAnsi="Maiandra GD" w:cs="Arial"/>
            <w:b/>
            <w:i/>
            <w:sz w:val="14"/>
            <w:szCs w:val="16"/>
            <w:lang w:eastAsia="ar-SA"/>
          </w:rPr>
          <w:t>www.stata.com</w:t>
        </w:r>
      </w:hyperlink>
      <w:r w:rsidR="00E042D0" w:rsidRPr="00E042D0">
        <w:rPr>
          <w:rFonts w:ascii="Maiandra GD" w:eastAsia="Times New Roman" w:hAnsi="Maiandra GD" w:cs="Arial"/>
          <w:b/>
          <w:i/>
          <w:sz w:val="14"/>
          <w:szCs w:val="16"/>
          <w:lang w:eastAsia="ar-SA"/>
        </w:rPr>
        <w:t xml:space="preserve"> </w:t>
      </w:r>
    </w:p>
    <w:p w:rsidR="00E042D0" w:rsidRPr="00E042D0" w:rsidRDefault="00E042D0" w:rsidP="00E042D0">
      <w:pPr>
        <w:suppressAutoHyphens/>
        <w:spacing w:after="0" w:line="240" w:lineRule="auto"/>
        <w:contextualSpacing/>
        <w:jc w:val="both"/>
        <w:rPr>
          <w:rFonts w:ascii="Maiandra GD" w:eastAsia="Times New Roman" w:hAnsi="Maiandra GD" w:cs="Arial"/>
          <w:b/>
          <w:i/>
          <w:sz w:val="14"/>
          <w:szCs w:val="16"/>
          <w:lang w:eastAsia="ar-SA"/>
        </w:rPr>
      </w:pPr>
    </w:p>
    <w:p w:rsidR="007E7292" w:rsidRPr="00615399" w:rsidRDefault="00E042D0" w:rsidP="00E042D0">
      <w:pPr>
        <w:suppressAutoHyphens/>
        <w:spacing w:after="0" w:line="240" w:lineRule="auto"/>
        <w:contextualSpacing/>
        <w:jc w:val="both"/>
        <w:rPr>
          <w:rFonts w:ascii="Maiandra GD" w:hAnsi="Maiandra GD"/>
          <w:sz w:val="28"/>
          <w:szCs w:val="28"/>
        </w:rPr>
      </w:pPr>
      <w:r w:rsidRPr="00E042D0">
        <w:rPr>
          <w:rFonts w:ascii="Maiandra GD" w:eastAsia="Times New Roman" w:hAnsi="Maiandra GD" w:cs="Arial"/>
          <w:b/>
          <w:i/>
          <w:sz w:val="16"/>
          <w:szCs w:val="16"/>
          <w:lang w:eastAsia="ar-SA"/>
        </w:rPr>
        <w:t xml:space="preserve"> </w:t>
      </w:r>
      <w:r w:rsidR="002A4B87" w:rsidRPr="00615399">
        <w:rPr>
          <w:rFonts w:ascii="Maiandra GD" w:eastAsia="Calibri" w:hAnsi="Maiandra GD" w:cs="Times New Roman"/>
          <w:noProof/>
          <w:lang w:eastAsia="es-MX"/>
        </w:rPr>
        <w:drawing>
          <wp:inline distT="0" distB="0" distL="0" distR="0" wp14:anchorId="1E18458D" wp14:editId="2430E733">
            <wp:extent cx="2841562"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4452" cy="543477"/>
                    </a:xfrm>
                    <a:prstGeom prst="rect">
                      <a:avLst/>
                    </a:prstGeom>
                    <a:noFill/>
                  </pic:spPr>
                </pic:pic>
              </a:graphicData>
            </a:graphic>
          </wp:inline>
        </w:drawing>
      </w:r>
    </w:p>
    <w:p w:rsidR="002A4B87" w:rsidRPr="00615399" w:rsidRDefault="002A4B87" w:rsidP="007E7292">
      <w:pPr>
        <w:spacing w:after="0"/>
        <w:jc w:val="center"/>
        <w:rPr>
          <w:rFonts w:ascii="Maiandra GD" w:hAnsi="Maiandra GD"/>
          <w:sz w:val="24"/>
          <w:szCs w:val="24"/>
        </w:rPr>
      </w:pPr>
    </w:p>
    <w:p w:rsidR="007E7292" w:rsidRPr="00615399" w:rsidRDefault="007E7292" w:rsidP="007E7292">
      <w:pPr>
        <w:spacing w:after="0"/>
        <w:jc w:val="center"/>
        <w:rPr>
          <w:rFonts w:ascii="Maiandra GD" w:hAnsi="Maiandra GD"/>
          <w:sz w:val="24"/>
          <w:szCs w:val="24"/>
        </w:rPr>
      </w:pPr>
      <w:r w:rsidRPr="00615399">
        <w:rPr>
          <w:rFonts w:ascii="Maiandra GD" w:hAnsi="Maiandra GD"/>
          <w:sz w:val="24"/>
          <w:szCs w:val="24"/>
        </w:rPr>
        <w:t>LICENCIATURA EN NUTRICIÓN</w:t>
      </w:r>
    </w:p>
    <w:p w:rsidR="007E7292" w:rsidRPr="00615399" w:rsidRDefault="007E7292" w:rsidP="007E7292">
      <w:pPr>
        <w:spacing w:after="0"/>
        <w:jc w:val="center"/>
        <w:rPr>
          <w:rFonts w:ascii="Maiandra GD" w:hAnsi="Maiandra GD"/>
          <w:sz w:val="24"/>
          <w:szCs w:val="24"/>
        </w:rPr>
      </w:pPr>
      <w:r w:rsidRPr="00615399">
        <w:rPr>
          <w:rFonts w:ascii="Maiandra GD" w:hAnsi="Maiandra GD"/>
          <w:sz w:val="24"/>
          <w:szCs w:val="24"/>
        </w:rPr>
        <w:t>Incorporado a la UAEM</w:t>
      </w:r>
    </w:p>
    <w:p w:rsidR="00760629" w:rsidRPr="00615399" w:rsidRDefault="00532DAF" w:rsidP="007E7292">
      <w:pPr>
        <w:spacing w:after="0"/>
        <w:jc w:val="center"/>
        <w:rPr>
          <w:rFonts w:ascii="Maiandra GD" w:hAnsi="Maiandra GD"/>
          <w:sz w:val="24"/>
          <w:szCs w:val="24"/>
        </w:rPr>
      </w:pPr>
      <w:r w:rsidRPr="00615399">
        <w:rPr>
          <w:rFonts w:ascii="Maiandra GD" w:hAnsi="Maiandra GD"/>
          <w:noProof/>
          <w:sz w:val="24"/>
          <w:szCs w:val="24"/>
          <w:lang w:eastAsia="es-MX"/>
        </w:rPr>
        <mc:AlternateContent>
          <mc:Choice Requires="wps">
            <w:drawing>
              <wp:anchor distT="0" distB="0" distL="114300" distR="114300" simplePos="0" relativeHeight="251659264" behindDoc="0" locked="0" layoutInCell="1" allowOverlap="1" wp14:anchorId="61550BD1" wp14:editId="16B3308A">
                <wp:simplePos x="0" y="0"/>
                <wp:positionH relativeFrom="column">
                  <wp:posOffset>597940</wp:posOffset>
                </wp:positionH>
                <wp:positionV relativeFrom="paragraph">
                  <wp:posOffset>254257</wp:posOffset>
                </wp:positionV>
                <wp:extent cx="1562100" cy="1345052"/>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45052"/>
                        </a:xfrm>
                        <a:prstGeom prst="rect">
                          <a:avLst/>
                        </a:prstGeom>
                        <a:noFill/>
                        <a:ln w="9525">
                          <a:noFill/>
                          <a:miter lim="800000"/>
                          <a:headEnd/>
                          <a:tailEnd/>
                        </a:ln>
                      </wps:spPr>
                      <wps:txbx>
                        <w:txbxContent>
                          <w:p w:rsidR="007E7292" w:rsidRPr="00CF30A2" w:rsidRDefault="007E7292" w:rsidP="007E7292">
                            <w:pPr>
                              <w:spacing w:line="240" w:lineRule="auto"/>
                              <w:jc w:val="center"/>
                              <w:rPr>
                                <w:rFonts w:ascii="Cooper Black" w:hAnsi="Cooper Black"/>
                                <w:sz w:val="18"/>
                                <w:szCs w:val="18"/>
                              </w:rPr>
                            </w:pPr>
                          </w:p>
                          <w:p w:rsidR="007E7292" w:rsidRPr="008E2B44" w:rsidRDefault="007E7292" w:rsidP="004E67E1">
                            <w:pPr>
                              <w:spacing w:line="240" w:lineRule="auto"/>
                              <w:jc w:val="center"/>
                              <w:rPr>
                                <w:rFonts w:ascii="Cooper Black" w:hAnsi="Cooper Black" w:cs="Arial"/>
                              </w:rPr>
                            </w:pPr>
                            <w:r>
                              <w:rPr>
                                <w:rFonts w:ascii="Cooper Black" w:hAnsi="Cooper Black" w:cs="Arial"/>
                              </w:rPr>
                              <w:t xml:space="preserve">SINTESIS DEL </w:t>
                            </w:r>
                            <w:r w:rsidRPr="008E2B44">
                              <w:rPr>
                                <w:rFonts w:ascii="Cooper Black" w:hAnsi="Cooper Black" w:cs="Arial"/>
                              </w:rPr>
                              <w:t xml:space="preserve">PROGRAMA </w:t>
                            </w:r>
                            <w:r>
                              <w:rPr>
                                <w:rFonts w:ascii="Cooper Black" w:hAnsi="Cooper Black" w:cs="Arial"/>
                              </w:rPr>
                              <w:t>POR COMPETENCIAS</w:t>
                            </w:r>
                            <w:r w:rsidRPr="008E2B44">
                              <w:rPr>
                                <w:rFonts w:ascii="Cooper Black" w:hAnsi="Cooper Black" w:cs="Arial"/>
                              </w:rPr>
                              <w:t xml:space="preserve"> DE “</w:t>
                            </w:r>
                            <w:r w:rsidR="00E042D0">
                              <w:rPr>
                                <w:rFonts w:ascii="Cooper Black" w:hAnsi="Cooper Black" w:cs="Arial"/>
                              </w:rPr>
                              <w:t>TIC en Nutrición</w:t>
                            </w:r>
                            <w:r>
                              <w:rPr>
                                <w:rFonts w:ascii="Cooper Black" w:hAnsi="Cooper Black"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50BD1" id="_x0000_t202" coordsize="21600,21600" o:spt="202" path="m,l,21600r21600,l21600,xe">
                <v:stroke joinstyle="miter"/>
                <v:path gradientshapeok="t" o:connecttype="rect"/>
              </v:shapetype>
              <v:shape id="Cuadro de texto 2" o:spid="_x0000_s1026" type="#_x0000_t202" style="position:absolute;left:0;text-align:left;margin-left:47.1pt;margin-top:20pt;width:123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" filled="f" stroked="f">
                <v:textbox>
                  <w:txbxContent>
                    <w:p w:rsidR="007E7292" w:rsidRPr="00CF30A2" w:rsidRDefault="007E7292" w:rsidP="007E7292">
                      <w:pPr>
                        <w:spacing w:line="240" w:lineRule="auto"/>
                        <w:jc w:val="center"/>
                        <w:rPr>
                          <w:rFonts w:ascii="Cooper Black" w:hAnsi="Cooper Black"/>
                          <w:sz w:val="18"/>
                          <w:szCs w:val="18"/>
                        </w:rPr>
                      </w:pPr>
                    </w:p>
                    <w:p w:rsidR="007E7292" w:rsidRPr="008E2B44" w:rsidRDefault="007E7292" w:rsidP="004E67E1">
                      <w:pPr>
                        <w:spacing w:line="240" w:lineRule="auto"/>
                        <w:jc w:val="center"/>
                        <w:rPr>
                          <w:rFonts w:ascii="Cooper Black" w:hAnsi="Cooper Black" w:cs="Arial"/>
                        </w:rPr>
                      </w:pPr>
                      <w:r>
                        <w:rPr>
                          <w:rFonts w:ascii="Cooper Black" w:hAnsi="Cooper Black" w:cs="Arial"/>
                        </w:rPr>
                        <w:t xml:space="preserve">SINTESIS DEL </w:t>
                      </w:r>
                      <w:r w:rsidRPr="008E2B44">
                        <w:rPr>
                          <w:rFonts w:ascii="Cooper Black" w:hAnsi="Cooper Black" w:cs="Arial"/>
                        </w:rPr>
                        <w:t xml:space="preserve">PROGRAMA </w:t>
                      </w:r>
                      <w:r>
                        <w:rPr>
                          <w:rFonts w:ascii="Cooper Black" w:hAnsi="Cooper Black" w:cs="Arial"/>
                        </w:rPr>
                        <w:t>POR COMPETENCIAS</w:t>
                      </w:r>
                      <w:r w:rsidRPr="008E2B44">
                        <w:rPr>
                          <w:rFonts w:ascii="Cooper Black" w:hAnsi="Cooper Black" w:cs="Arial"/>
                        </w:rPr>
                        <w:t xml:space="preserve"> DE “</w:t>
                      </w:r>
                      <w:r w:rsidR="00E042D0">
                        <w:rPr>
                          <w:rFonts w:ascii="Cooper Black" w:hAnsi="Cooper Black" w:cs="Arial"/>
                        </w:rPr>
                        <w:t>TIC en Nutrición</w:t>
                      </w:r>
                      <w:r>
                        <w:rPr>
                          <w:rFonts w:ascii="Cooper Black" w:hAnsi="Cooper Black" w:cs="Arial"/>
                        </w:rPr>
                        <w:t>”</w:t>
                      </w:r>
                    </w:p>
                  </w:txbxContent>
                </v:textbox>
              </v:shape>
            </w:pict>
          </mc:Fallback>
        </mc:AlternateContent>
      </w:r>
      <w:r w:rsidR="007E7292" w:rsidRPr="00615399">
        <w:rPr>
          <w:rFonts w:ascii="Maiandra GD" w:hAnsi="Maiandra GD"/>
          <w:sz w:val="24"/>
          <w:szCs w:val="24"/>
        </w:rPr>
        <w:t>CLAVE  91P</w:t>
      </w:r>
    </w:p>
    <w:p w:rsidR="007E7292" w:rsidRPr="00615399" w:rsidRDefault="007E7292" w:rsidP="007E7292">
      <w:pPr>
        <w:spacing w:after="0"/>
        <w:jc w:val="center"/>
        <w:rPr>
          <w:rFonts w:ascii="Maiandra GD" w:hAnsi="Maiandra GD"/>
          <w:sz w:val="24"/>
          <w:szCs w:val="24"/>
        </w:rPr>
      </w:pPr>
      <w:r w:rsidRPr="00615399">
        <w:rPr>
          <w:rFonts w:ascii="Maiandra GD" w:hAnsi="Maiandra GD"/>
          <w:noProof/>
          <w:sz w:val="24"/>
          <w:szCs w:val="24"/>
          <w:lang w:eastAsia="es-MX"/>
        </w:rPr>
        <mc:AlternateContent>
          <mc:Choice Requires="wps">
            <w:drawing>
              <wp:inline distT="0" distB="0" distL="0" distR="0" wp14:anchorId="7359C8EA" wp14:editId="567DAE58">
                <wp:extent cx="2057400" cy="1466850"/>
                <wp:effectExtent l="0" t="0" r="19050" b="19050"/>
                <wp:docPr id="2" name="2 Rectángulo redondeado"/>
                <wp:cNvGraphicFramePr/>
                <a:graphic xmlns:a="http://schemas.openxmlformats.org/drawingml/2006/main">
                  <a:graphicData uri="http://schemas.microsoft.com/office/word/2010/wordprocessingShape">
                    <wps:wsp>
                      <wps:cNvSpPr/>
                      <wps:spPr>
                        <a:xfrm>
                          <a:off x="0" y="0"/>
                          <a:ext cx="2057400" cy="1466850"/>
                        </a:xfrm>
                        <a:prstGeom prst="roundRect">
                          <a:avLst>
                            <a:gd name="adj" fmla="val 32596"/>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2DB5C0" id="2 Rectángulo redondeado" o:spid="_x0000_s1026" style="width:162pt;height:115.5pt;visibility:visible;mso-wrap-style:square;mso-left-percent:-10001;mso-top-percent:-10001;mso-position-horizontal:absolute;mso-position-horizontal-relative:char;mso-position-vertical:absolute;mso-position-vertical-relative:line;mso-left-percent:-10001;mso-top-percent:-10001;v-text-anchor:middle" arcsize="213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" filled="f" strokecolor="windowText" strokeweight="2pt">
                <w10:anchorlock/>
              </v:roundrect>
            </w:pict>
          </mc:Fallback>
        </mc:AlternateContent>
      </w:r>
    </w:p>
    <w:p w:rsidR="002A4B87" w:rsidRPr="00615399" w:rsidRDefault="002A4B87" w:rsidP="007E7292">
      <w:pPr>
        <w:spacing w:after="0"/>
        <w:jc w:val="center"/>
        <w:rPr>
          <w:rFonts w:ascii="Maiandra GD" w:hAnsi="Maiandra GD"/>
          <w:sz w:val="24"/>
          <w:szCs w:val="24"/>
        </w:rPr>
      </w:pPr>
    </w:p>
    <w:p w:rsidR="000928E1" w:rsidRPr="00615399" w:rsidRDefault="000928E1" w:rsidP="000928E1">
      <w:pPr>
        <w:spacing w:after="0"/>
        <w:jc w:val="center"/>
        <w:rPr>
          <w:rFonts w:ascii="Maiandra GD" w:hAnsi="Maiandra GD"/>
          <w:sz w:val="24"/>
          <w:szCs w:val="24"/>
        </w:rPr>
      </w:pPr>
      <w:r w:rsidRPr="00615399">
        <w:rPr>
          <w:rFonts w:ascii="Maiandra GD" w:hAnsi="Maiandra GD"/>
          <w:sz w:val="24"/>
          <w:szCs w:val="24"/>
        </w:rPr>
        <w:t>Núcleo de formación:</w:t>
      </w:r>
      <w:r w:rsidRPr="00615399">
        <w:rPr>
          <w:rFonts w:ascii="Maiandra GD" w:hAnsi="Maiandra GD"/>
          <w:sz w:val="24"/>
          <w:szCs w:val="24"/>
        </w:rPr>
        <w:tab/>
        <w:t>Sustantivo</w:t>
      </w:r>
    </w:p>
    <w:p w:rsidR="000928E1" w:rsidRPr="00615399" w:rsidRDefault="000928E1" w:rsidP="000928E1">
      <w:pPr>
        <w:spacing w:after="0"/>
        <w:jc w:val="center"/>
        <w:rPr>
          <w:rFonts w:ascii="Maiandra GD" w:hAnsi="Maiandra GD"/>
          <w:sz w:val="24"/>
          <w:szCs w:val="24"/>
        </w:rPr>
      </w:pPr>
      <w:r w:rsidRPr="00615399">
        <w:rPr>
          <w:rFonts w:ascii="Maiandra GD" w:hAnsi="Maiandra GD"/>
          <w:sz w:val="24"/>
          <w:szCs w:val="24"/>
        </w:rPr>
        <w:t>Área Curricular:</w:t>
      </w:r>
      <w:r w:rsidRPr="00615399">
        <w:rPr>
          <w:rFonts w:ascii="Maiandra GD" w:hAnsi="Maiandra GD"/>
          <w:sz w:val="24"/>
          <w:szCs w:val="24"/>
        </w:rPr>
        <w:tab/>
        <w:t>Ciencias Sociales</w:t>
      </w:r>
    </w:p>
    <w:p w:rsidR="00235FB4" w:rsidRPr="00615399" w:rsidRDefault="000928E1" w:rsidP="000928E1">
      <w:pPr>
        <w:spacing w:after="0"/>
        <w:jc w:val="center"/>
        <w:rPr>
          <w:rFonts w:ascii="Maiandra GD" w:hAnsi="Maiandra GD"/>
          <w:sz w:val="24"/>
          <w:szCs w:val="24"/>
        </w:rPr>
      </w:pPr>
      <w:r w:rsidRPr="00615399">
        <w:rPr>
          <w:rFonts w:ascii="Maiandra GD" w:hAnsi="Maiandra GD"/>
          <w:sz w:val="24"/>
          <w:szCs w:val="24"/>
        </w:rPr>
        <w:t>Carácter de la UA:</w:t>
      </w:r>
      <w:r w:rsidRPr="00615399">
        <w:rPr>
          <w:rFonts w:ascii="Maiandra GD" w:hAnsi="Maiandra GD"/>
          <w:sz w:val="24"/>
          <w:szCs w:val="24"/>
        </w:rPr>
        <w:tab/>
        <w:t>Obligatoria</w:t>
      </w:r>
    </w:p>
    <w:p w:rsidR="000928E1" w:rsidRPr="00615399" w:rsidRDefault="000928E1" w:rsidP="007E7292">
      <w:pPr>
        <w:spacing w:after="0"/>
        <w:jc w:val="center"/>
        <w:rPr>
          <w:rFonts w:ascii="Maiandra GD" w:hAnsi="Maiandra GD"/>
          <w:sz w:val="24"/>
          <w:szCs w:val="24"/>
        </w:rPr>
      </w:pPr>
    </w:p>
    <w:p w:rsidR="007E7292" w:rsidRPr="00615399" w:rsidRDefault="007E7292" w:rsidP="007E7292">
      <w:pPr>
        <w:spacing w:after="0"/>
        <w:jc w:val="center"/>
        <w:rPr>
          <w:rFonts w:ascii="Maiandra GD" w:hAnsi="Maiandra GD"/>
          <w:sz w:val="24"/>
          <w:szCs w:val="24"/>
        </w:rPr>
      </w:pPr>
      <w:r w:rsidRPr="00615399">
        <w:rPr>
          <w:rFonts w:ascii="Maiandra GD" w:hAnsi="Maiandra GD"/>
          <w:sz w:val="24"/>
          <w:szCs w:val="24"/>
        </w:rPr>
        <w:t xml:space="preserve">Créditos: </w:t>
      </w:r>
      <w:r w:rsidR="00E042D0">
        <w:rPr>
          <w:rFonts w:ascii="Maiandra GD" w:hAnsi="Maiandra GD"/>
          <w:sz w:val="24"/>
          <w:szCs w:val="24"/>
        </w:rPr>
        <w:t>5</w:t>
      </w:r>
    </w:p>
    <w:p w:rsidR="007E7292" w:rsidRPr="00615399" w:rsidRDefault="007E7292" w:rsidP="007E7292">
      <w:pPr>
        <w:spacing w:after="0"/>
        <w:jc w:val="center"/>
        <w:rPr>
          <w:rFonts w:ascii="Maiandra GD" w:hAnsi="Maiandra GD"/>
          <w:sz w:val="24"/>
          <w:szCs w:val="24"/>
        </w:rPr>
      </w:pPr>
      <w:r w:rsidRPr="00615399">
        <w:rPr>
          <w:rFonts w:ascii="Maiandra GD" w:hAnsi="Maiandra GD"/>
          <w:sz w:val="24"/>
          <w:szCs w:val="24"/>
        </w:rPr>
        <w:t xml:space="preserve">Plan de estudios flexible </w:t>
      </w:r>
    </w:p>
    <w:p w:rsidR="00615399" w:rsidRDefault="00235FB4" w:rsidP="007E7292">
      <w:pPr>
        <w:spacing w:after="0"/>
        <w:jc w:val="center"/>
        <w:rPr>
          <w:rFonts w:ascii="Maiandra GD" w:hAnsi="Maiandra GD"/>
          <w:sz w:val="24"/>
          <w:szCs w:val="24"/>
        </w:rPr>
      </w:pPr>
      <w:r w:rsidRPr="00615399">
        <w:rPr>
          <w:rFonts w:ascii="Maiandra GD" w:hAnsi="Maiandra GD"/>
          <w:sz w:val="24"/>
          <w:szCs w:val="24"/>
        </w:rPr>
        <w:t>Ciclo</w:t>
      </w:r>
      <w:r w:rsidR="00615399">
        <w:rPr>
          <w:rFonts w:ascii="Maiandra GD" w:hAnsi="Maiandra GD"/>
          <w:sz w:val="24"/>
          <w:szCs w:val="24"/>
        </w:rPr>
        <w:t>:</w:t>
      </w:r>
      <w:r w:rsidR="008C1FBA">
        <w:rPr>
          <w:rFonts w:ascii="Maiandra GD" w:hAnsi="Maiandra GD"/>
          <w:sz w:val="24"/>
          <w:szCs w:val="24"/>
        </w:rPr>
        <w:t xml:space="preserve"> </w:t>
      </w:r>
      <w:r w:rsidR="00E042D0">
        <w:rPr>
          <w:rFonts w:ascii="Maiandra GD" w:hAnsi="Maiandra GD"/>
          <w:sz w:val="24"/>
          <w:szCs w:val="24"/>
        </w:rPr>
        <w:t xml:space="preserve">Febrero – Julio </w:t>
      </w:r>
      <w:r w:rsidR="00615399">
        <w:rPr>
          <w:rFonts w:ascii="Maiandra GD" w:hAnsi="Maiandra GD"/>
          <w:sz w:val="24"/>
          <w:szCs w:val="24"/>
        </w:rPr>
        <w:t>2019</w:t>
      </w:r>
    </w:p>
    <w:p w:rsidR="007E7292" w:rsidRPr="00615399" w:rsidRDefault="00615399" w:rsidP="007E7292">
      <w:pPr>
        <w:spacing w:after="0"/>
        <w:jc w:val="center"/>
        <w:rPr>
          <w:rFonts w:ascii="Maiandra GD" w:hAnsi="Maiandra GD"/>
          <w:sz w:val="24"/>
          <w:szCs w:val="24"/>
        </w:rPr>
      </w:pPr>
      <w:r>
        <w:rPr>
          <w:rFonts w:ascii="Maiandra GD" w:hAnsi="Maiandra GD"/>
          <w:sz w:val="24"/>
          <w:szCs w:val="24"/>
        </w:rPr>
        <w:t>Periodo: 201</w:t>
      </w:r>
      <w:r w:rsidR="00E042D0">
        <w:rPr>
          <w:rFonts w:ascii="Maiandra GD" w:hAnsi="Maiandra GD"/>
          <w:sz w:val="24"/>
          <w:szCs w:val="24"/>
        </w:rPr>
        <w:t>9</w:t>
      </w:r>
      <w:r w:rsidR="007E7292" w:rsidRPr="00615399">
        <w:rPr>
          <w:rFonts w:ascii="Maiandra GD" w:hAnsi="Maiandra GD"/>
          <w:sz w:val="24"/>
          <w:szCs w:val="24"/>
        </w:rPr>
        <w:t xml:space="preserve"> </w:t>
      </w:r>
      <w:r w:rsidR="00E042D0">
        <w:rPr>
          <w:rFonts w:ascii="Maiandra GD" w:hAnsi="Maiandra GD"/>
          <w:sz w:val="24"/>
          <w:szCs w:val="24"/>
        </w:rPr>
        <w:t>A</w:t>
      </w:r>
    </w:p>
    <w:p w:rsidR="007E7292" w:rsidRPr="00615399" w:rsidRDefault="007E7292" w:rsidP="007E7292">
      <w:pPr>
        <w:spacing w:after="0"/>
        <w:jc w:val="center"/>
        <w:rPr>
          <w:rFonts w:ascii="Maiandra GD" w:hAnsi="Maiandra GD"/>
          <w:sz w:val="24"/>
          <w:szCs w:val="24"/>
        </w:rPr>
      </w:pPr>
    </w:p>
    <w:p w:rsidR="007E7292" w:rsidRPr="00615399" w:rsidRDefault="007E7292" w:rsidP="007E7292">
      <w:pPr>
        <w:spacing w:after="0"/>
        <w:jc w:val="center"/>
        <w:rPr>
          <w:rFonts w:ascii="Maiandra GD" w:hAnsi="Maiandra GD"/>
          <w:sz w:val="24"/>
          <w:szCs w:val="24"/>
        </w:rPr>
      </w:pPr>
      <w:r w:rsidRPr="00615399">
        <w:rPr>
          <w:rFonts w:ascii="Maiandra GD" w:hAnsi="Maiandra GD"/>
          <w:sz w:val="24"/>
          <w:szCs w:val="24"/>
        </w:rPr>
        <w:t xml:space="preserve">ACADÉMICOS: </w:t>
      </w:r>
    </w:p>
    <w:p w:rsidR="007E7292" w:rsidRPr="00615399" w:rsidRDefault="007E7292" w:rsidP="007E7292">
      <w:pPr>
        <w:spacing w:after="0"/>
        <w:jc w:val="center"/>
        <w:rPr>
          <w:rFonts w:ascii="Maiandra GD" w:hAnsi="Maiandra GD"/>
          <w:sz w:val="24"/>
          <w:szCs w:val="24"/>
        </w:rPr>
      </w:pPr>
      <w:r w:rsidRPr="00615399">
        <w:rPr>
          <w:rFonts w:ascii="Maiandra GD" w:hAnsi="Maiandra GD"/>
          <w:sz w:val="24"/>
          <w:szCs w:val="24"/>
        </w:rPr>
        <w:t>L.N. Eréndira Moreno Zaldívar</w:t>
      </w:r>
    </w:p>
    <w:p w:rsidR="007E7292" w:rsidRPr="00615399" w:rsidRDefault="00C24B44" w:rsidP="007E7292">
      <w:pPr>
        <w:spacing w:after="0"/>
        <w:ind w:left="708" w:firstLine="708"/>
        <w:rPr>
          <w:rFonts w:ascii="Maiandra GD" w:hAnsi="Maiandra GD"/>
          <w:sz w:val="24"/>
          <w:szCs w:val="24"/>
        </w:rPr>
      </w:pPr>
      <w:r w:rsidRPr="00615399">
        <w:rPr>
          <w:rFonts w:ascii="Maiandra GD" w:hAnsi="Maiandra GD"/>
          <w:sz w:val="24"/>
          <w:szCs w:val="24"/>
        </w:rPr>
        <w:t xml:space="preserve">Grupos </w:t>
      </w:r>
      <w:r w:rsidR="00E042D0">
        <w:rPr>
          <w:rFonts w:ascii="Maiandra GD" w:hAnsi="Maiandra GD"/>
          <w:sz w:val="24"/>
          <w:szCs w:val="24"/>
        </w:rPr>
        <w:t>41 Y 42</w:t>
      </w:r>
    </w:p>
    <w:p w:rsidR="007E7292" w:rsidRPr="00615399" w:rsidRDefault="007E7292" w:rsidP="007E7292">
      <w:pPr>
        <w:spacing w:after="0"/>
        <w:jc w:val="center"/>
        <w:rPr>
          <w:rFonts w:ascii="Maiandra GD" w:hAnsi="Maiandra GD"/>
          <w:sz w:val="24"/>
          <w:szCs w:val="24"/>
        </w:rPr>
      </w:pPr>
    </w:p>
    <w:p w:rsidR="007E7292" w:rsidRPr="00615399" w:rsidRDefault="00E042D0" w:rsidP="007E7292">
      <w:pPr>
        <w:spacing w:after="0"/>
        <w:jc w:val="center"/>
        <w:rPr>
          <w:rFonts w:ascii="Maiandra GD" w:hAnsi="Maiandra GD"/>
          <w:sz w:val="24"/>
          <w:szCs w:val="20"/>
        </w:rPr>
      </w:pPr>
      <w:r>
        <w:rPr>
          <w:rFonts w:ascii="Maiandra GD" w:hAnsi="Maiandra GD"/>
          <w:sz w:val="24"/>
          <w:szCs w:val="20"/>
        </w:rPr>
        <w:t>1</w:t>
      </w:r>
      <w:r w:rsidR="007E7292" w:rsidRPr="00615399">
        <w:rPr>
          <w:rFonts w:ascii="Maiandra GD" w:hAnsi="Maiandra GD"/>
          <w:sz w:val="24"/>
          <w:szCs w:val="20"/>
        </w:rPr>
        <w:t xml:space="preserve"> </w:t>
      </w:r>
      <w:proofErr w:type="spellStart"/>
      <w:r w:rsidR="002B1B03" w:rsidRPr="00615399">
        <w:rPr>
          <w:rFonts w:ascii="Maiandra GD" w:hAnsi="Maiandra GD"/>
          <w:sz w:val="24"/>
          <w:szCs w:val="20"/>
        </w:rPr>
        <w:t>hrs</w:t>
      </w:r>
      <w:proofErr w:type="spellEnd"/>
      <w:r w:rsidR="002B1B03" w:rsidRPr="00615399">
        <w:rPr>
          <w:rFonts w:ascii="Maiandra GD" w:hAnsi="Maiandra GD"/>
          <w:sz w:val="24"/>
          <w:szCs w:val="20"/>
        </w:rPr>
        <w:t xml:space="preserve"> teóricas</w:t>
      </w:r>
      <w:r w:rsidR="007E7292" w:rsidRPr="00615399">
        <w:rPr>
          <w:rFonts w:ascii="Maiandra GD" w:hAnsi="Maiandra GD"/>
          <w:sz w:val="24"/>
          <w:szCs w:val="20"/>
        </w:rPr>
        <w:t xml:space="preserve">, </w:t>
      </w:r>
      <w:r>
        <w:rPr>
          <w:rFonts w:ascii="Maiandra GD" w:hAnsi="Maiandra GD"/>
          <w:sz w:val="24"/>
          <w:szCs w:val="20"/>
        </w:rPr>
        <w:t>3</w:t>
      </w:r>
      <w:r w:rsidR="007E7292" w:rsidRPr="00615399">
        <w:rPr>
          <w:rFonts w:ascii="Maiandra GD" w:hAnsi="Maiandra GD"/>
          <w:sz w:val="24"/>
          <w:szCs w:val="20"/>
        </w:rPr>
        <w:t xml:space="preserve"> </w:t>
      </w:r>
      <w:proofErr w:type="spellStart"/>
      <w:r w:rsidR="002B1B03" w:rsidRPr="00615399">
        <w:rPr>
          <w:rFonts w:ascii="Maiandra GD" w:hAnsi="Maiandra GD"/>
          <w:sz w:val="24"/>
          <w:szCs w:val="20"/>
        </w:rPr>
        <w:t>hrs</w:t>
      </w:r>
      <w:proofErr w:type="spellEnd"/>
      <w:r w:rsidR="002B1B03" w:rsidRPr="00615399">
        <w:rPr>
          <w:rFonts w:ascii="Maiandra GD" w:hAnsi="Maiandra GD"/>
          <w:sz w:val="24"/>
          <w:szCs w:val="20"/>
        </w:rPr>
        <w:t xml:space="preserve"> prácticas</w:t>
      </w:r>
    </w:p>
    <w:p w:rsidR="007E7292" w:rsidRPr="00615399" w:rsidRDefault="007E7292" w:rsidP="007E7292">
      <w:pPr>
        <w:spacing w:after="0"/>
        <w:jc w:val="center"/>
        <w:rPr>
          <w:rFonts w:ascii="Maiandra GD" w:hAnsi="Maiandra GD"/>
          <w:sz w:val="24"/>
          <w:szCs w:val="24"/>
        </w:rPr>
      </w:pPr>
    </w:p>
    <w:p w:rsidR="00EB7A67" w:rsidRPr="00615399" w:rsidRDefault="00EB7A67" w:rsidP="007E7292">
      <w:pPr>
        <w:spacing w:after="0"/>
        <w:jc w:val="right"/>
        <w:rPr>
          <w:rFonts w:ascii="Maiandra GD" w:hAnsi="Maiandra GD"/>
          <w:sz w:val="24"/>
          <w:szCs w:val="24"/>
        </w:rPr>
      </w:pPr>
    </w:p>
    <w:p w:rsidR="007E7292" w:rsidRPr="007004CA" w:rsidRDefault="007E7292" w:rsidP="007E7292">
      <w:pPr>
        <w:spacing w:after="0"/>
        <w:jc w:val="right"/>
        <w:rPr>
          <w:rFonts w:ascii="Maiandra GD" w:hAnsi="Maiandra GD"/>
          <w:b/>
          <w:sz w:val="24"/>
          <w:szCs w:val="24"/>
        </w:rPr>
      </w:pPr>
      <w:r w:rsidRPr="007004CA">
        <w:rPr>
          <w:rFonts w:ascii="Maiandra GD" w:hAnsi="Maiandra GD"/>
          <w:b/>
          <w:sz w:val="24"/>
          <w:szCs w:val="24"/>
        </w:rPr>
        <w:lastRenderedPageBreak/>
        <w:t>PRESENTACIÓN</w:t>
      </w:r>
    </w:p>
    <w:p w:rsidR="00E042D0" w:rsidRPr="00E042D0" w:rsidRDefault="00E042D0" w:rsidP="00E042D0">
      <w:pPr>
        <w:spacing w:after="0"/>
        <w:jc w:val="both"/>
        <w:rPr>
          <w:rFonts w:ascii="Maiandra GD" w:eastAsia="Times New Roman" w:hAnsi="Maiandra GD" w:cs="Arial"/>
          <w:sz w:val="18"/>
          <w:szCs w:val="20"/>
          <w:lang w:eastAsia="es-ES"/>
        </w:rPr>
      </w:pPr>
      <w:r w:rsidRPr="00E042D0">
        <w:rPr>
          <w:rFonts w:ascii="Maiandra GD" w:eastAsia="Times New Roman" w:hAnsi="Maiandra GD" w:cs="Arial"/>
          <w:sz w:val="18"/>
          <w:szCs w:val="20"/>
          <w:lang w:eastAsia="es-ES"/>
        </w:rPr>
        <w:t xml:space="preserve">Las tecnologías de la información y comunicación (TIC) son herramientas informáticas conectadas a internet de uso frecuente que permiten elaborar, difundir y almacenar información facilitando los procesos de aprendizaje, así como las actividades cotidianas del estilo de vida actual. Algunos ejemplos de TIC son la televisión, la radio, teléfono fijo y móvil, tarjetas de memoria y las computadoras entre otros, las cuales tienen como características permitir el intercambio de información entre un usuario y una computadora, así como permitir el intercambio de información de manera veloz, lo cual ha permitido su expansión y que sean empleadas como una herramienta importante en el área de la salud a nivel mundial. </w:t>
      </w:r>
    </w:p>
    <w:p w:rsidR="00E042D0" w:rsidRPr="00E042D0" w:rsidRDefault="00E042D0" w:rsidP="00E042D0">
      <w:pPr>
        <w:spacing w:after="0"/>
        <w:jc w:val="both"/>
        <w:rPr>
          <w:rFonts w:ascii="Maiandra GD" w:eastAsia="Times New Roman" w:hAnsi="Maiandra GD" w:cs="Arial"/>
          <w:sz w:val="18"/>
          <w:szCs w:val="20"/>
          <w:lang w:eastAsia="es-ES"/>
        </w:rPr>
      </w:pPr>
      <w:r w:rsidRPr="00E042D0">
        <w:rPr>
          <w:rFonts w:ascii="Maiandra GD" w:eastAsia="Times New Roman" w:hAnsi="Maiandra GD" w:cs="Arial"/>
          <w:sz w:val="18"/>
          <w:szCs w:val="20"/>
          <w:lang w:eastAsia="es-ES"/>
        </w:rPr>
        <w:t xml:space="preserve">La Unidad de Aprendizaje TIC en Nutrición permite a los alumnos conocer e integrar la tecnología de la información y la comunicación dentro de su desempeño académico, conocer y aplicar diversas herramientas tecnológicas que apoyen y faciliten el desempeño profesional del licenciado en Nutrición en el área clínica, de nutrición poblacional, de servicios de alimentación, así como de tecnología alimentaria. El alumno conocerá y empleará dichas herramientas a favor de la salud individual y colectiva, integrado en el contexto digital actual.  </w:t>
      </w:r>
    </w:p>
    <w:p w:rsidR="00E042D0" w:rsidRPr="00E042D0" w:rsidRDefault="00E042D0" w:rsidP="00E042D0">
      <w:pPr>
        <w:spacing w:after="0"/>
        <w:jc w:val="both"/>
        <w:rPr>
          <w:rFonts w:ascii="Maiandra GD" w:eastAsia="Times New Roman" w:hAnsi="Maiandra GD" w:cs="Arial"/>
          <w:sz w:val="18"/>
          <w:szCs w:val="20"/>
          <w:lang w:eastAsia="es-ES"/>
        </w:rPr>
      </w:pPr>
      <w:r w:rsidRPr="00E042D0">
        <w:rPr>
          <w:rFonts w:ascii="Maiandra GD" w:eastAsia="Times New Roman" w:hAnsi="Maiandra GD" w:cs="Arial"/>
          <w:sz w:val="18"/>
          <w:szCs w:val="20"/>
          <w:lang w:eastAsia="es-ES"/>
        </w:rPr>
        <w:t>La parte práctica de la unidad de aprendizaje se llevará a cabo con la utilización de plataformas digitales como apoyo al aprendizaje, así como herramientas tecnológicas útiles en E-</w:t>
      </w:r>
      <w:proofErr w:type="spellStart"/>
      <w:r w:rsidRPr="00E042D0">
        <w:rPr>
          <w:rFonts w:ascii="Maiandra GD" w:eastAsia="Times New Roman" w:hAnsi="Maiandra GD" w:cs="Arial"/>
          <w:sz w:val="18"/>
          <w:szCs w:val="20"/>
          <w:lang w:eastAsia="es-ES"/>
        </w:rPr>
        <w:t>Health</w:t>
      </w:r>
      <w:proofErr w:type="spellEnd"/>
      <w:r w:rsidRPr="00E042D0">
        <w:rPr>
          <w:rFonts w:ascii="Maiandra GD" w:eastAsia="Times New Roman" w:hAnsi="Maiandra GD" w:cs="Arial"/>
          <w:sz w:val="18"/>
          <w:szCs w:val="20"/>
          <w:lang w:eastAsia="es-ES"/>
        </w:rPr>
        <w:t xml:space="preserve"> (salud electrónica), llevándose a cabo en aulas digitales o bien a distancia. </w:t>
      </w:r>
    </w:p>
    <w:p w:rsidR="00E042D0" w:rsidRDefault="00E042D0" w:rsidP="00E042D0">
      <w:pPr>
        <w:spacing w:after="0"/>
        <w:jc w:val="both"/>
        <w:rPr>
          <w:rFonts w:ascii="Maiandra GD" w:eastAsia="Times New Roman" w:hAnsi="Maiandra GD" w:cs="Arial"/>
          <w:sz w:val="18"/>
          <w:szCs w:val="20"/>
          <w:lang w:eastAsia="es-ES"/>
        </w:rPr>
      </w:pPr>
      <w:r w:rsidRPr="00E042D0">
        <w:rPr>
          <w:rFonts w:ascii="Maiandra GD" w:eastAsia="Times New Roman" w:hAnsi="Maiandra GD" w:cs="Arial"/>
          <w:sz w:val="18"/>
          <w:szCs w:val="20"/>
          <w:lang w:eastAsia="es-ES"/>
        </w:rPr>
        <w:t xml:space="preserve">El profesor es un facilitador del conocimiento, que guía el trabajo participativo de los alumnos, cuyo perfil deseable es un profesional del área de la Nutrición con conocimientos del uso de las </w:t>
      </w:r>
      <w:proofErr w:type="spellStart"/>
      <w:r w:rsidRPr="00E042D0">
        <w:rPr>
          <w:rFonts w:ascii="Maiandra GD" w:eastAsia="Times New Roman" w:hAnsi="Maiandra GD" w:cs="Arial"/>
          <w:sz w:val="18"/>
          <w:szCs w:val="20"/>
          <w:lang w:eastAsia="es-ES"/>
        </w:rPr>
        <w:t>TIC’s</w:t>
      </w:r>
      <w:proofErr w:type="spellEnd"/>
      <w:r w:rsidRPr="00E042D0">
        <w:rPr>
          <w:rFonts w:ascii="Maiandra GD" w:eastAsia="Times New Roman" w:hAnsi="Maiandra GD" w:cs="Arial"/>
          <w:sz w:val="18"/>
          <w:szCs w:val="20"/>
          <w:lang w:eastAsia="es-ES"/>
        </w:rPr>
        <w:t xml:space="preserve"> y herramientas tecnológicas aplicadas a los campos del desempeño de la Nutrición </w:t>
      </w:r>
    </w:p>
    <w:p w:rsidR="007E7292" w:rsidRPr="00E042D0" w:rsidRDefault="007E7292" w:rsidP="00E042D0">
      <w:pPr>
        <w:spacing w:after="0"/>
        <w:jc w:val="right"/>
        <w:rPr>
          <w:rFonts w:ascii="Maiandra GD" w:eastAsia="Times New Roman" w:hAnsi="Maiandra GD" w:cs="Arial"/>
          <w:b/>
          <w:szCs w:val="24"/>
          <w:lang w:eastAsia="es-ES"/>
        </w:rPr>
      </w:pPr>
      <w:r w:rsidRPr="00E042D0">
        <w:rPr>
          <w:rFonts w:ascii="Maiandra GD" w:eastAsia="Times New Roman" w:hAnsi="Maiandra GD" w:cs="Arial"/>
          <w:b/>
          <w:szCs w:val="24"/>
          <w:lang w:eastAsia="es-ES"/>
        </w:rPr>
        <w:t>PROPÓSITO</w:t>
      </w:r>
    </w:p>
    <w:p w:rsidR="00E042D0" w:rsidRPr="00E042D0" w:rsidRDefault="00D0691A" w:rsidP="00E042D0">
      <w:pPr>
        <w:spacing w:after="0"/>
        <w:jc w:val="both"/>
        <w:rPr>
          <w:rFonts w:ascii="Maiandra GD" w:eastAsia="Times New Roman" w:hAnsi="Maiandra GD" w:cs="Arial"/>
          <w:sz w:val="18"/>
          <w:szCs w:val="20"/>
          <w:lang w:eastAsia="es-ES"/>
        </w:rPr>
      </w:pPr>
      <w:r w:rsidRPr="00E042D0">
        <w:rPr>
          <w:rFonts w:ascii="Maiandra GD" w:eastAsia="Times New Roman" w:hAnsi="Maiandra GD" w:cs="Arial"/>
          <w:sz w:val="18"/>
          <w:szCs w:val="20"/>
          <w:lang w:eastAsia="es-ES"/>
        </w:rPr>
        <w:t xml:space="preserve">Por tener carácter de curso taller, se desarrollará tanto en aula como en espacios </w:t>
      </w:r>
      <w:r w:rsidR="00E042D0">
        <w:rPr>
          <w:rFonts w:ascii="Maiandra GD" w:eastAsia="Times New Roman" w:hAnsi="Maiandra GD" w:cs="Arial"/>
          <w:sz w:val="18"/>
          <w:szCs w:val="20"/>
          <w:lang w:eastAsia="es-ES"/>
        </w:rPr>
        <w:t xml:space="preserve">con equipo cómputo y conexón a internet. </w:t>
      </w:r>
      <w:r w:rsidR="00E042D0" w:rsidRPr="00E042D0">
        <w:rPr>
          <w:rFonts w:ascii="Maiandra GD" w:eastAsia="Times New Roman" w:hAnsi="Maiandra GD" w:cs="Arial"/>
          <w:sz w:val="18"/>
          <w:szCs w:val="20"/>
          <w:lang w:eastAsia="es-ES"/>
        </w:rPr>
        <w:t xml:space="preserve">Utilizar ordenadores, programas </w:t>
      </w:r>
      <w:r w:rsidR="00E042D0" w:rsidRPr="00E042D0">
        <w:rPr>
          <w:rFonts w:ascii="Maiandra GD" w:eastAsia="Times New Roman" w:hAnsi="Maiandra GD" w:cs="Arial"/>
          <w:sz w:val="18"/>
          <w:szCs w:val="20"/>
          <w:lang w:eastAsia="es-ES"/>
        </w:rPr>
        <w:t xml:space="preserve">informáticos y redes especializados en el área de Nutrición que faciliten el ejercicio profesional. </w:t>
      </w:r>
    </w:p>
    <w:p w:rsidR="007E7292" w:rsidRPr="00615399" w:rsidRDefault="007E7292" w:rsidP="00E042D0">
      <w:pPr>
        <w:spacing w:after="0"/>
        <w:jc w:val="right"/>
        <w:rPr>
          <w:rFonts w:ascii="Maiandra GD" w:eastAsia="Times New Roman" w:hAnsi="Maiandra GD" w:cs="Arial"/>
          <w:b/>
          <w:sz w:val="24"/>
          <w:szCs w:val="24"/>
          <w:lang w:eastAsia="es-ES"/>
        </w:rPr>
      </w:pPr>
      <w:r w:rsidRPr="00615399">
        <w:rPr>
          <w:rFonts w:ascii="Maiandra GD" w:eastAsia="Times New Roman" w:hAnsi="Maiandra GD" w:cs="Arial"/>
          <w:b/>
          <w:sz w:val="24"/>
          <w:szCs w:val="24"/>
          <w:lang w:eastAsia="es-ES"/>
        </w:rPr>
        <w:t>METODOLOGÍA</w:t>
      </w:r>
    </w:p>
    <w:p w:rsidR="007E7292" w:rsidRPr="00615399" w:rsidRDefault="007E7292" w:rsidP="007E7292">
      <w:pPr>
        <w:spacing w:after="0"/>
        <w:jc w:val="both"/>
        <w:rPr>
          <w:rFonts w:ascii="Maiandra GD" w:eastAsia="Times New Roman" w:hAnsi="Maiandra GD" w:cs="Arial"/>
          <w:sz w:val="20"/>
          <w:szCs w:val="20"/>
          <w:lang w:eastAsia="es-ES"/>
        </w:rPr>
      </w:pPr>
      <w:r w:rsidRPr="00615399">
        <w:rPr>
          <w:rFonts w:ascii="Maiandra GD" w:eastAsia="Times New Roman" w:hAnsi="Maiandra GD" w:cs="Arial"/>
          <w:sz w:val="20"/>
          <w:szCs w:val="20"/>
          <w:lang w:eastAsia="es-ES"/>
        </w:rPr>
        <w:t>La metodología que se aplicará en esta materia estará basada y centrada en el modelo educativo institucional de tipo constructivista; donde los alumnos desarrollarán los objetivos de aprendizaje centrados sobre todo en la aplicación de sus conocimientos teóricos aplicados a las prácticas tanto individuales como grupales; orientadas en todo momento por el catedrático.</w:t>
      </w:r>
    </w:p>
    <w:p w:rsidR="00615399" w:rsidRDefault="00615399" w:rsidP="007E7292">
      <w:pPr>
        <w:spacing w:after="0"/>
        <w:jc w:val="right"/>
        <w:rPr>
          <w:rFonts w:ascii="Maiandra GD" w:eastAsia="Times New Roman" w:hAnsi="Maiandra GD" w:cs="Arial"/>
          <w:b/>
          <w:sz w:val="24"/>
          <w:szCs w:val="24"/>
          <w:lang w:eastAsia="es-ES"/>
        </w:rPr>
      </w:pPr>
    </w:p>
    <w:p w:rsidR="00E23CED" w:rsidRPr="00663ADA" w:rsidRDefault="007E7292" w:rsidP="00663ADA">
      <w:pPr>
        <w:spacing w:after="0"/>
        <w:jc w:val="right"/>
        <w:rPr>
          <w:rFonts w:ascii="Maiandra GD" w:eastAsia="Times New Roman" w:hAnsi="Maiandra GD" w:cs="Arial"/>
          <w:b/>
          <w:sz w:val="24"/>
          <w:szCs w:val="24"/>
          <w:lang w:eastAsia="es-ES"/>
        </w:rPr>
      </w:pPr>
      <w:r w:rsidRPr="00615399">
        <w:rPr>
          <w:rFonts w:ascii="Maiandra GD" w:eastAsia="Times New Roman" w:hAnsi="Maiandra GD" w:cs="Arial"/>
          <w:b/>
          <w:sz w:val="24"/>
          <w:szCs w:val="24"/>
          <w:lang w:eastAsia="es-ES"/>
        </w:rPr>
        <w:t>UNIDADES DE APRENDIZAJE TEÓRICA PRÁCTICA</w:t>
      </w:r>
    </w:p>
    <w:tbl>
      <w:tblPr>
        <w:tblStyle w:val="Tablaconcuadrcula"/>
        <w:tblpPr w:leftFromText="141" w:rightFromText="141" w:vertAnchor="page" w:horzAnchor="margin" w:tblpXSpec="center" w:tblpY="6196"/>
        <w:tblW w:w="0" w:type="auto"/>
        <w:tblLook w:val="04A0" w:firstRow="1" w:lastRow="0" w:firstColumn="1" w:lastColumn="0" w:noHBand="0" w:noVBand="1"/>
      </w:tblPr>
      <w:tblGrid>
        <w:gridCol w:w="3085"/>
        <w:gridCol w:w="1185"/>
      </w:tblGrid>
      <w:tr w:rsidR="00663ADA" w:rsidRPr="002B0A19" w:rsidTr="002B0A19">
        <w:tc>
          <w:tcPr>
            <w:tcW w:w="3085" w:type="dxa"/>
          </w:tcPr>
          <w:p w:rsidR="00663ADA" w:rsidRPr="002B0A19" w:rsidRDefault="00663ADA" w:rsidP="002B0A19">
            <w:pPr>
              <w:jc w:val="both"/>
              <w:rPr>
                <w:rFonts w:ascii="Maiandra GD" w:hAnsi="Maiandra GD" w:cs="Arial"/>
                <w:b/>
                <w:sz w:val="18"/>
                <w:szCs w:val="16"/>
              </w:rPr>
            </w:pPr>
            <w:r w:rsidRPr="002B0A19">
              <w:rPr>
                <w:rFonts w:ascii="Maiandra GD" w:hAnsi="Maiandra GD" w:cs="Arial"/>
                <w:b/>
                <w:sz w:val="18"/>
                <w:szCs w:val="16"/>
              </w:rPr>
              <w:t>UNIDADES DE APRENDIZAJE TEÓRICAS</w:t>
            </w:r>
          </w:p>
        </w:tc>
        <w:tc>
          <w:tcPr>
            <w:tcW w:w="1185" w:type="dxa"/>
          </w:tcPr>
          <w:p w:rsidR="00663ADA" w:rsidRPr="002B0A19" w:rsidRDefault="00663ADA" w:rsidP="002B0A19">
            <w:pPr>
              <w:jc w:val="center"/>
              <w:rPr>
                <w:rFonts w:ascii="Maiandra GD" w:hAnsi="Maiandra GD" w:cs="Arial"/>
                <w:b/>
                <w:sz w:val="18"/>
                <w:szCs w:val="16"/>
              </w:rPr>
            </w:pPr>
            <w:r w:rsidRPr="002B0A19">
              <w:rPr>
                <w:rFonts w:ascii="Maiandra GD" w:hAnsi="Maiandra GD" w:cs="Arial"/>
                <w:b/>
                <w:sz w:val="18"/>
                <w:szCs w:val="16"/>
              </w:rPr>
              <w:t>FECHAS</w:t>
            </w:r>
          </w:p>
        </w:tc>
      </w:tr>
      <w:tr w:rsidR="00663ADA" w:rsidRPr="002B0A19" w:rsidTr="009A2E99">
        <w:trPr>
          <w:trHeight w:val="4368"/>
        </w:trPr>
        <w:tc>
          <w:tcPr>
            <w:tcW w:w="3085" w:type="dxa"/>
          </w:tcPr>
          <w:p w:rsidR="00663ADA" w:rsidRPr="002B0A19" w:rsidRDefault="00663ADA" w:rsidP="002B0A19">
            <w:pPr>
              <w:spacing w:before="100" w:beforeAutospacing="1"/>
              <w:jc w:val="both"/>
              <w:rPr>
                <w:rFonts w:ascii="Maiandra GD" w:hAnsi="Maiandra GD" w:cs="Arial"/>
                <w:bCs/>
                <w:sz w:val="18"/>
                <w:szCs w:val="16"/>
              </w:rPr>
            </w:pPr>
            <w:r w:rsidRPr="00E042D0">
              <w:rPr>
                <w:rFonts w:ascii="Maiandra GD" w:hAnsi="Maiandra GD" w:cs="Arial"/>
                <w:b/>
                <w:bCs/>
                <w:sz w:val="18"/>
                <w:szCs w:val="16"/>
                <w:lang w:val="es-ES"/>
              </w:rPr>
              <w:t>Unidad I.</w:t>
            </w:r>
            <w:r w:rsidRPr="00E042D0">
              <w:rPr>
                <w:rFonts w:ascii="Maiandra GD" w:hAnsi="Maiandra GD" w:cs="Arial"/>
                <w:bCs/>
                <w:sz w:val="18"/>
                <w:szCs w:val="16"/>
                <w:lang w:val="es-ES"/>
              </w:rPr>
              <w:t xml:space="preserve"> </w:t>
            </w:r>
            <w:r w:rsidRPr="00E042D0">
              <w:rPr>
                <w:rFonts w:ascii="Maiandra GD" w:hAnsi="Maiandra GD" w:cs="Arial"/>
                <w:b/>
                <w:bCs/>
                <w:sz w:val="18"/>
                <w:szCs w:val="16"/>
                <w:lang w:val="es-ES"/>
              </w:rPr>
              <w:t xml:space="preserve">Generalidades de las </w:t>
            </w:r>
            <w:proofErr w:type="spellStart"/>
            <w:r w:rsidRPr="00E042D0">
              <w:rPr>
                <w:rFonts w:ascii="Maiandra GD" w:hAnsi="Maiandra GD" w:cs="Arial"/>
                <w:b/>
                <w:bCs/>
                <w:sz w:val="18"/>
                <w:szCs w:val="16"/>
                <w:lang w:val="es-ES"/>
              </w:rPr>
              <w:t>TIC’s</w:t>
            </w:r>
            <w:proofErr w:type="spellEnd"/>
            <w:r w:rsidRPr="00E042D0">
              <w:rPr>
                <w:rFonts w:ascii="Maiandra GD" w:hAnsi="Maiandra GD" w:cs="Arial"/>
                <w:b/>
                <w:bCs/>
                <w:sz w:val="18"/>
                <w:szCs w:val="16"/>
                <w:lang w:val="es-ES"/>
              </w:rPr>
              <w:t xml:space="preserve"> en nutrición</w:t>
            </w:r>
            <w:r w:rsidRPr="002B0A19">
              <w:rPr>
                <w:rFonts w:ascii="Maiandra GD" w:hAnsi="Maiandra GD" w:cs="Arial"/>
                <w:bCs/>
                <w:sz w:val="18"/>
                <w:szCs w:val="16"/>
                <w:lang w:val="es-ES"/>
              </w:rPr>
              <w:t xml:space="preserve">: </w:t>
            </w:r>
            <w:r w:rsidRPr="002B0A19">
              <w:rPr>
                <w:rFonts w:ascii="Maiandra GD" w:hAnsi="Maiandra GD" w:cs="Arial"/>
                <w:bCs/>
                <w:sz w:val="18"/>
                <w:szCs w:val="16"/>
              </w:rPr>
              <w:t xml:space="preserve">Analizar las características e importancia de las </w:t>
            </w:r>
            <w:proofErr w:type="spellStart"/>
            <w:r w:rsidRPr="002B0A19">
              <w:rPr>
                <w:rFonts w:ascii="Maiandra GD" w:hAnsi="Maiandra GD" w:cs="Arial"/>
                <w:bCs/>
                <w:sz w:val="18"/>
                <w:szCs w:val="16"/>
              </w:rPr>
              <w:t>TICs</w:t>
            </w:r>
            <w:proofErr w:type="spellEnd"/>
            <w:r w:rsidRPr="002B0A19">
              <w:rPr>
                <w:rFonts w:ascii="Maiandra GD" w:hAnsi="Maiandra GD" w:cs="Arial"/>
                <w:bCs/>
                <w:sz w:val="18"/>
                <w:szCs w:val="16"/>
              </w:rPr>
              <w:t xml:space="preserve"> en el campo de la salud y nutrición con el propósito de aplicar las herramientas tecnológicas en las diferentes necesidades del ámbito laboral, por medio del uso y selección de plataformas y sitios de búsqueda en internet.</w:t>
            </w:r>
          </w:p>
          <w:p w:rsidR="00663ADA" w:rsidRPr="002B0A19" w:rsidRDefault="00663ADA" w:rsidP="009A2E99">
            <w:pPr>
              <w:spacing w:before="100" w:beforeAutospacing="1"/>
              <w:jc w:val="both"/>
              <w:rPr>
                <w:rFonts w:ascii="Maiandra GD" w:hAnsi="Maiandra GD" w:cs="Arial"/>
                <w:bCs/>
                <w:iCs/>
                <w:sz w:val="18"/>
                <w:szCs w:val="16"/>
              </w:rPr>
            </w:pPr>
            <w:r w:rsidRPr="002B0A19">
              <w:rPr>
                <w:rFonts w:ascii="Maiandra GD" w:hAnsi="Maiandra GD" w:cs="Arial"/>
                <w:b/>
                <w:bCs/>
                <w:sz w:val="18"/>
                <w:szCs w:val="16"/>
                <w:lang w:val="es-ES"/>
              </w:rPr>
              <w:t>Unidad II.</w:t>
            </w:r>
            <w:r w:rsidRPr="002B0A19">
              <w:rPr>
                <w:rFonts w:ascii="Maiandra GD" w:hAnsi="Maiandra GD" w:cs="Arial"/>
                <w:bCs/>
                <w:sz w:val="18"/>
                <w:szCs w:val="16"/>
                <w:lang w:val="es-ES"/>
              </w:rPr>
              <w:t xml:space="preserve"> </w:t>
            </w:r>
            <w:r w:rsidRPr="002B0A19">
              <w:rPr>
                <w:rFonts w:ascii="Maiandra GD" w:hAnsi="Maiandra GD" w:cs="Arial"/>
                <w:b/>
                <w:bCs/>
                <w:sz w:val="18"/>
                <w:szCs w:val="16"/>
                <w:lang w:val="es-ES"/>
              </w:rPr>
              <w:t>Herramientas genéricas en computación</w:t>
            </w:r>
            <w:r w:rsidRPr="002B0A19">
              <w:rPr>
                <w:rFonts w:ascii="Maiandra GD" w:hAnsi="Maiandra GD" w:cs="Arial"/>
                <w:bCs/>
                <w:sz w:val="18"/>
                <w:szCs w:val="16"/>
              </w:rPr>
              <w:t>: Utilizar las herramientas tecnológicas genéricas con el fin de facilitar el desempeño profesional a través del diseño y ejecución de material digital con temas relacionados a la Nutrición.</w:t>
            </w:r>
          </w:p>
        </w:tc>
        <w:tc>
          <w:tcPr>
            <w:tcW w:w="1185" w:type="dxa"/>
          </w:tcPr>
          <w:p w:rsidR="00663ADA" w:rsidRPr="002B0A19" w:rsidRDefault="00663ADA" w:rsidP="002B0A19">
            <w:pPr>
              <w:jc w:val="center"/>
              <w:rPr>
                <w:rFonts w:ascii="Maiandra GD" w:hAnsi="Maiandra GD" w:cs="Arial"/>
                <w:sz w:val="18"/>
                <w:szCs w:val="16"/>
              </w:rPr>
            </w:pPr>
            <w:r w:rsidRPr="002B0A19">
              <w:rPr>
                <w:rFonts w:ascii="Maiandra GD" w:hAnsi="Maiandra GD" w:cs="Arial"/>
                <w:sz w:val="18"/>
                <w:szCs w:val="16"/>
              </w:rPr>
              <w:t>1ª a 3ª SEMANA</w:t>
            </w: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9A2E99" w:rsidRDefault="009A2E99" w:rsidP="002B0A19">
            <w:pPr>
              <w:jc w:val="center"/>
              <w:rPr>
                <w:rFonts w:ascii="Maiandra GD" w:hAnsi="Maiandra GD" w:cs="Arial"/>
                <w:sz w:val="18"/>
                <w:szCs w:val="16"/>
              </w:rPr>
            </w:pPr>
          </w:p>
          <w:p w:rsidR="009A2E99" w:rsidRDefault="009A2E99" w:rsidP="002B0A19">
            <w:pPr>
              <w:jc w:val="center"/>
              <w:rPr>
                <w:rFonts w:ascii="Maiandra GD" w:hAnsi="Maiandra GD" w:cs="Arial"/>
                <w:sz w:val="18"/>
                <w:szCs w:val="16"/>
              </w:rPr>
            </w:pPr>
          </w:p>
          <w:p w:rsidR="009A2E99" w:rsidRDefault="009A2E99"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r w:rsidRPr="002B0A19">
              <w:rPr>
                <w:rFonts w:ascii="Maiandra GD" w:hAnsi="Maiandra GD" w:cs="Arial"/>
                <w:sz w:val="18"/>
                <w:szCs w:val="16"/>
              </w:rPr>
              <w:t>4ª a 7ª   SEMANA</w:t>
            </w: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p w:rsidR="00663ADA" w:rsidRPr="002B0A19" w:rsidRDefault="00663ADA" w:rsidP="002B0A19">
            <w:pPr>
              <w:jc w:val="center"/>
              <w:rPr>
                <w:rFonts w:ascii="Maiandra GD" w:hAnsi="Maiandra GD" w:cs="Arial"/>
                <w:sz w:val="18"/>
                <w:szCs w:val="16"/>
              </w:rPr>
            </w:pPr>
          </w:p>
        </w:tc>
      </w:tr>
    </w:tbl>
    <w:p w:rsidR="007E7292" w:rsidRPr="00615399" w:rsidRDefault="007E7292" w:rsidP="007E7292">
      <w:pPr>
        <w:spacing w:after="0"/>
        <w:jc w:val="both"/>
        <w:rPr>
          <w:rFonts w:ascii="Maiandra GD" w:eastAsia="Times New Roman" w:hAnsi="Maiandra GD" w:cs="Arial"/>
          <w:sz w:val="20"/>
          <w:szCs w:val="20"/>
          <w:lang w:eastAsia="es-ES"/>
        </w:rPr>
      </w:pPr>
      <w:r w:rsidRPr="00615399">
        <w:rPr>
          <w:rFonts w:ascii="Maiandra GD" w:eastAsia="Times New Roman" w:hAnsi="Maiandra GD" w:cs="Arial"/>
          <w:sz w:val="20"/>
          <w:szCs w:val="20"/>
          <w:lang w:eastAsia="es-ES"/>
        </w:rPr>
        <w:t xml:space="preserve">A </w:t>
      </w:r>
      <w:r w:rsidR="00663ADA" w:rsidRPr="00615399">
        <w:rPr>
          <w:rFonts w:ascii="Maiandra GD" w:eastAsia="Times New Roman" w:hAnsi="Maiandra GD" w:cs="Arial"/>
          <w:sz w:val="20"/>
          <w:szCs w:val="20"/>
          <w:lang w:eastAsia="es-ES"/>
        </w:rPr>
        <w:t>continuación,</w:t>
      </w:r>
      <w:r w:rsidRPr="00615399">
        <w:rPr>
          <w:rFonts w:ascii="Maiandra GD" w:eastAsia="Times New Roman" w:hAnsi="Maiandra GD" w:cs="Arial"/>
          <w:sz w:val="20"/>
          <w:szCs w:val="20"/>
          <w:lang w:eastAsia="es-ES"/>
        </w:rPr>
        <w:t xml:space="preserve"> se señalan las unidades de las que consta la Asignatura de </w:t>
      </w:r>
      <w:r w:rsidR="00532DAF" w:rsidRPr="00615399">
        <w:rPr>
          <w:rFonts w:ascii="Maiandra GD" w:eastAsia="Times New Roman" w:hAnsi="Maiandra GD" w:cs="Arial"/>
          <w:sz w:val="20"/>
          <w:szCs w:val="20"/>
          <w:lang w:eastAsia="es-ES"/>
        </w:rPr>
        <w:t>Promoción de la Salud</w:t>
      </w:r>
      <w:r w:rsidRPr="00615399">
        <w:rPr>
          <w:rFonts w:ascii="Maiandra GD" w:eastAsia="Times New Roman" w:hAnsi="Maiandra GD" w:cs="Arial"/>
          <w:sz w:val="20"/>
          <w:szCs w:val="20"/>
          <w:lang w:eastAsia="es-ES"/>
        </w:rPr>
        <w:t>; las cuales se impartirán de la manera siguiente:</w:t>
      </w:r>
    </w:p>
    <w:p w:rsidR="007E7292" w:rsidRDefault="007E7292" w:rsidP="007E7292">
      <w:pPr>
        <w:spacing w:after="0"/>
        <w:jc w:val="both"/>
        <w:rPr>
          <w:rFonts w:ascii="Maiandra GD" w:eastAsia="Times New Roman" w:hAnsi="Maiandra GD" w:cs="Arial"/>
          <w:lang w:eastAsia="es-ES"/>
        </w:rPr>
      </w:pPr>
    </w:p>
    <w:p w:rsidR="00663ADA" w:rsidRPr="00615399" w:rsidRDefault="00663ADA" w:rsidP="007E7292">
      <w:pPr>
        <w:spacing w:after="0"/>
        <w:jc w:val="both"/>
        <w:rPr>
          <w:rFonts w:ascii="Maiandra GD" w:eastAsia="Times New Roman" w:hAnsi="Maiandra GD" w:cs="Arial"/>
          <w:lang w:eastAsia="es-ES"/>
        </w:rPr>
      </w:pPr>
    </w:p>
    <w:tbl>
      <w:tblPr>
        <w:tblStyle w:val="Tablaconcuadrcula"/>
        <w:tblpPr w:leftFromText="141" w:rightFromText="141" w:vertAnchor="text" w:horzAnchor="margin" w:tblpXSpec="right" w:tblpY="136"/>
        <w:tblW w:w="0" w:type="auto"/>
        <w:tblLook w:val="04A0" w:firstRow="1" w:lastRow="0" w:firstColumn="1" w:lastColumn="0" w:noHBand="0" w:noVBand="1"/>
      </w:tblPr>
      <w:tblGrid>
        <w:gridCol w:w="3227"/>
        <w:gridCol w:w="1260"/>
      </w:tblGrid>
      <w:tr w:rsidR="002B0A19" w:rsidRPr="002B0A19" w:rsidTr="001E5D5C">
        <w:tc>
          <w:tcPr>
            <w:tcW w:w="3227" w:type="dxa"/>
          </w:tcPr>
          <w:p w:rsidR="002B0A19" w:rsidRPr="002B0A19" w:rsidRDefault="002B0A19" w:rsidP="002B0A19">
            <w:pPr>
              <w:jc w:val="both"/>
              <w:rPr>
                <w:rFonts w:ascii="Maiandra GD" w:hAnsi="Maiandra GD" w:cs="Arial"/>
                <w:b/>
                <w:sz w:val="18"/>
                <w:szCs w:val="18"/>
              </w:rPr>
            </w:pPr>
            <w:r w:rsidRPr="002B0A19">
              <w:rPr>
                <w:rFonts w:ascii="Maiandra GD" w:hAnsi="Maiandra GD" w:cs="Arial"/>
                <w:b/>
                <w:sz w:val="18"/>
                <w:szCs w:val="18"/>
              </w:rPr>
              <w:t>UNIDADES DE APRENDIZAJE TEÓRICAS</w:t>
            </w:r>
          </w:p>
        </w:tc>
        <w:tc>
          <w:tcPr>
            <w:tcW w:w="1260" w:type="dxa"/>
          </w:tcPr>
          <w:p w:rsidR="002B0A19" w:rsidRPr="002B0A19" w:rsidRDefault="002B0A19" w:rsidP="002B0A19">
            <w:pPr>
              <w:jc w:val="center"/>
              <w:rPr>
                <w:rFonts w:ascii="Maiandra GD" w:hAnsi="Maiandra GD" w:cs="Arial"/>
                <w:b/>
                <w:sz w:val="18"/>
                <w:szCs w:val="18"/>
              </w:rPr>
            </w:pPr>
            <w:r w:rsidRPr="002B0A19">
              <w:rPr>
                <w:rFonts w:ascii="Maiandra GD" w:hAnsi="Maiandra GD" w:cs="Arial"/>
                <w:b/>
                <w:sz w:val="18"/>
                <w:szCs w:val="18"/>
              </w:rPr>
              <w:t>FECHAS</w:t>
            </w:r>
          </w:p>
        </w:tc>
      </w:tr>
      <w:tr w:rsidR="002B0A19" w:rsidRPr="002B0A19" w:rsidTr="001E5D5C">
        <w:tc>
          <w:tcPr>
            <w:tcW w:w="3227" w:type="dxa"/>
          </w:tcPr>
          <w:p w:rsidR="002B0A19" w:rsidRPr="002B0A19" w:rsidRDefault="002B0A19" w:rsidP="002B0A19">
            <w:pPr>
              <w:jc w:val="both"/>
              <w:rPr>
                <w:rFonts w:ascii="Maiandra GD" w:eastAsia="Times New Roman" w:hAnsi="Maiandra GD" w:cs="Arial"/>
                <w:b/>
                <w:bCs/>
                <w:sz w:val="18"/>
                <w:szCs w:val="18"/>
                <w:lang w:eastAsia="es-ES"/>
              </w:rPr>
            </w:pPr>
            <w:r w:rsidRPr="002B0A19">
              <w:rPr>
                <w:rFonts w:ascii="Maiandra GD" w:eastAsia="Times New Roman" w:hAnsi="Maiandra GD" w:cs="Arial"/>
                <w:b/>
                <w:sz w:val="18"/>
                <w:szCs w:val="18"/>
                <w:lang w:val="es-ES" w:eastAsia="es-ES"/>
              </w:rPr>
              <w:t>Unidad III. Recursos electrónicos de búsqueda y administración de información</w:t>
            </w:r>
            <w:r>
              <w:rPr>
                <w:rFonts w:ascii="Maiandra GD" w:eastAsia="Times New Roman" w:hAnsi="Maiandra GD" w:cs="Arial"/>
                <w:b/>
                <w:sz w:val="18"/>
                <w:szCs w:val="18"/>
                <w:lang w:val="es-ES" w:eastAsia="es-ES"/>
              </w:rPr>
              <w:t xml:space="preserve">: </w:t>
            </w:r>
            <w:r w:rsidRPr="002B0A19">
              <w:rPr>
                <w:rFonts w:ascii="Arial" w:eastAsia="Times New Roman" w:hAnsi="Arial" w:cs="Arial"/>
                <w:bCs/>
                <w:sz w:val="16"/>
                <w:szCs w:val="18"/>
                <w:lang w:eastAsia="ar-SA"/>
              </w:rPr>
              <w:t xml:space="preserve"> </w:t>
            </w:r>
            <w:r w:rsidRPr="002B0A19">
              <w:rPr>
                <w:rFonts w:ascii="Maiandra GD" w:eastAsia="Times New Roman" w:hAnsi="Maiandra GD" w:cs="Arial"/>
                <w:bCs/>
                <w:sz w:val="18"/>
                <w:szCs w:val="18"/>
                <w:lang w:eastAsia="es-ES"/>
              </w:rPr>
              <w:t>Operar recursos electrónicos de búsqueda de información en el área de la salud con la finalidad de favorecer la administración de la información electrónica, a través del uso eficiente de los recursos electrónicos.</w:t>
            </w:r>
          </w:p>
          <w:p w:rsidR="002B0A19" w:rsidRDefault="002B0A19" w:rsidP="002B0A19">
            <w:pPr>
              <w:jc w:val="both"/>
              <w:rPr>
                <w:rFonts w:ascii="Maiandra GD" w:eastAsia="Times New Roman" w:hAnsi="Maiandra GD" w:cs="Arial"/>
                <w:b/>
                <w:sz w:val="18"/>
                <w:szCs w:val="18"/>
                <w:lang w:val="es-ES" w:eastAsia="es-ES"/>
              </w:rPr>
            </w:pPr>
          </w:p>
          <w:p w:rsidR="002B0A19" w:rsidRPr="002B0A19" w:rsidRDefault="002B0A19" w:rsidP="002B0A19">
            <w:pPr>
              <w:jc w:val="both"/>
              <w:rPr>
                <w:rFonts w:ascii="Maiandra GD" w:eastAsia="Times New Roman" w:hAnsi="Maiandra GD" w:cs="Arial"/>
                <w:sz w:val="18"/>
                <w:szCs w:val="18"/>
                <w:lang w:val="es-ES" w:eastAsia="es-ES"/>
              </w:rPr>
            </w:pPr>
            <w:r w:rsidRPr="002B0A19">
              <w:rPr>
                <w:rFonts w:ascii="Maiandra GD" w:eastAsia="Times New Roman" w:hAnsi="Maiandra GD" w:cs="Arial"/>
                <w:b/>
                <w:sz w:val="18"/>
                <w:szCs w:val="18"/>
                <w:lang w:val="es-ES" w:eastAsia="es-ES"/>
              </w:rPr>
              <w:t>Unidad IV. TIC en el área de la nutrición</w:t>
            </w:r>
            <w:r>
              <w:rPr>
                <w:rFonts w:ascii="Maiandra GD" w:eastAsia="Times New Roman" w:hAnsi="Maiandra GD" w:cs="Arial"/>
                <w:b/>
                <w:sz w:val="18"/>
                <w:szCs w:val="18"/>
                <w:lang w:val="es-ES" w:eastAsia="es-ES"/>
              </w:rPr>
              <w:t xml:space="preserve">: </w:t>
            </w:r>
            <w:r w:rsidRPr="002B0A19">
              <w:rPr>
                <w:rFonts w:ascii="Arial" w:eastAsia="Times New Roman" w:hAnsi="Arial" w:cs="Arial"/>
                <w:bCs/>
                <w:sz w:val="16"/>
                <w:szCs w:val="18"/>
                <w:lang w:eastAsia="ar-SA"/>
              </w:rPr>
              <w:t xml:space="preserve"> </w:t>
            </w:r>
            <w:r w:rsidRPr="002B0A19">
              <w:rPr>
                <w:rFonts w:ascii="Maiandra GD" w:eastAsia="Times New Roman" w:hAnsi="Maiandra GD" w:cs="Arial"/>
                <w:bCs/>
                <w:sz w:val="18"/>
                <w:szCs w:val="18"/>
                <w:lang w:eastAsia="es-ES"/>
              </w:rPr>
              <w:t>Aplicar herramientas informáticas a fin de apoyar la práctica profesional del área de la Nutrición, en los diferentes campos de desempeño por medio del uso de herramientas del área de la Nutrición poblacional, clínica, servicios de alimentación e investigación.</w:t>
            </w:r>
          </w:p>
          <w:p w:rsidR="002B0A19" w:rsidRPr="002B0A19" w:rsidRDefault="002B0A19" w:rsidP="002B0A19">
            <w:pPr>
              <w:jc w:val="both"/>
              <w:rPr>
                <w:rFonts w:ascii="Maiandra GD" w:eastAsia="Times New Roman" w:hAnsi="Maiandra GD" w:cs="Arial"/>
                <w:sz w:val="18"/>
                <w:szCs w:val="18"/>
                <w:lang w:eastAsia="es-ES"/>
              </w:rPr>
            </w:pPr>
          </w:p>
        </w:tc>
        <w:tc>
          <w:tcPr>
            <w:tcW w:w="1260" w:type="dxa"/>
          </w:tcPr>
          <w:p w:rsidR="002B0A19" w:rsidRPr="002B0A19" w:rsidRDefault="002B0A19" w:rsidP="002B0A19">
            <w:pPr>
              <w:jc w:val="center"/>
              <w:rPr>
                <w:rFonts w:ascii="Maiandra GD" w:hAnsi="Maiandra GD" w:cs="Arial"/>
                <w:sz w:val="18"/>
                <w:szCs w:val="18"/>
              </w:rPr>
            </w:pPr>
            <w:r w:rsidRPr="002B0A19">
              <w:rPr>
                <w:rFonts w:ascii="Maiandra GD" w:hAnsi="Maiandra GD" w:cs="Arial"/>
                <w:sz w:val="18"/>
                <w:szCs w:val="18"/>
              </w:rPr>
              <w:t>8 ª a 10ª   SEMANA</w:t>
            </w: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Default="002B0A19" w:rsidP="002B0A19">
            <w:pPr>
              <w:jc w:val="both"/>
              <w:rPr>
                <w:rFonts w:ascii="Maiandra GD" w:eastAsia="Times New Roman" w:hAnsi="Maiandra GD" w:cs="Arial"/>
                <w:sz w:val="18"/>
                <w:szCs w:val="18"/>
                <w:lang w:eastAsia="es-ES"/>
              </w:rPr>
            </w:pPr>
          </w:p>
          <w:p w:rsidR="002B0A19" w:rsidRPr="002B0A19" w:rsidRDefault="002B0A19" w:rsidP="002B0A19">
            <w:pPr>
              <w:jc w:val="center"/>
              <w:rPr>
                <w:rFonts w:ascii="Maiandra GD" w:hAnsi="Maiandra GD" w:cs="Arial"/>
                <w:sz w:val="18"/>
                <w:szCs w:val="18"/>
              </w:rPr>
            </w:pPr>
            <w:r>
              <w:rPr>
                <w:rFonts w:ascii="Maiandra GD" w:hAnsi="Maiandra GD" w:cs="Arial"/>
                <w:sz w:val="18"/>
                <w:szCs w:val="18"/>
              </w:rPr>
              <w:t>11</w:t>
            </w:r>
            <w:r w:rsidRPr="002B0A19">
              <w:rPr>
                <w:rFonts w:ascii="Maiandra GD" w:hAnsi="Maiandra GD" w:cs="Arial"/>
                <w:sz w:val="18"/>
                <w:szCs w:val="18"/>
              </w:rPr>
              <w:t xml:space="preserve"> ª a 1</w:t>
            </w:r>
            <w:r>
              <w:rPr>
                <w:rFonts w:ascii="Maiandra GD" w:hAnsi="Maiandra GD" w:cs="Arial"/>
                <w:sz w:val="18"/>
                <w:szCs w:val="18"/>
              </w:rPr>
              <w:t>6</w:t>
            </w:r>
            <w:r w:rsidRPr="002B0A19">
              <w:rPr>
                <w:rFonts w:ascii="Maiandra GD" w:hAnsi="Maiandra GD" w:cs="Arial"/>
                <w:sz w:val="18"/>
                <w:szCs w:val="18"/>
              </w:rPr>
              <w:t>ª   SEMANA</w:t>
            </w:r>
          </w:p>
          <w:p w:rsidR="002B0A19" w:rsidRPr="002B0A19" w:rsidRDefault="002B0A19" w:rsidP="002B0A19">
            <w:pPr>
              <w:jc w:val="both"/>
              <w:rPr>
                <w:rFonts w:ascii="Maiandra GD" w:eastAsia="Times New Roman" w:hAnsi="Maiandra GD" w:cs="Arial"/>
                <w:sz w:val="18"/>
                <w:szCs w:val="18"/>
                <w:lang w:eastAsia="es-ES"/>
              </w:rPr>
            </w:pPr>
          </w:p>
        </w:tc>
      </w:tr>
    </w:tbl>
    <w:tbl>
      <w:tblPr>
        <w:tblStyle w:val="Tablaconcuadrcula"/>
        <w:tblpPr w:leftFromText="141" w:rightFromText="141" w:vertAnchor="page" w:horzAnchor="margin" w:tblpXSpec="right" w:tblpY="5801"/>
        <w:tblW w:w="0" w:type="auto"/>
        <w:tblLook w:val="04A0" w:firstRow="1" w:lastRow="0" w:firstColumn="1" w:lastColumn="0" w:noHBand="0" w:noVBand="1"/>
      </w:tblPr>
      <w:tblGrid>
        <w:gridCol w:w="4537"/>
      </w:tblGrid>
      <w:tr w:rsidR="001E5D5C" w:rsidRPr="004E67E1" w:rsidTr="001E5D5C">
        <w:trPr>
          <w:trHeight w:val="382"/>
        </w:trPr>
        <w:tc>
          <w:tcPr>
            <w:tcW w:w="4537" w:type="dxa"/>
          </w:tcPr>
          <w:p w:rsidR="001E5D5C" w:rsidRPr="004E67E1" w:rsidRDefault="001E5D5C" w:rsidP="001E5D5C">
            <w:pPr>
              <w:jc w:val="center"/>
              <w:rPr>
                <w:rFonts w:ascii="Maiandra GD" w:hAnsi="Maiandra GD" w:cs="Arial"/>
                <w:b/>
                <w:sz w:val="18"/>
                <w:szCs w:val="20"/>
              </w:rPr>
            </w:pPr>
            <w:r w:rsidRPr="004E67E1">
              <w:rPr>
                <w:rFonts w:ascii="Maiandra GD" w:hAnsi="Maiandra GD" w:cs="Arial"/>
                <w:b/>
                <w:sz w:val="18"/>
                <w:szCs w:val="20"/>
              </w:rPr>
              <w:t>PRÁCTICAS</w:t>
            </w:r>
          </w:p>
        </w:tc>
      </w:tr>
      <w:tr w:rsidR="001E5D5C" w:rsidRPr="004E67E1" w:rsidTr="001E5D5C">
        <w:trPr>
          <w:trHeight w:val="261"/>
        </w:trPr>
        <w:tc>
          <w:tcPr>
            <w:tcW w:w="4537" w:type="dxa"/>
          </w:tcPr>
          <w:p w:rsidR="001E5D5C" w:rsidRDefault="001E5D5C" w:rsidP="001E5D5C">
            <w:pPr>
              <w:rPr>
                <w:rFonts w:ascii="Maiandra GD" w:eastAsia="Times New Roman" w:hAnsi="Maiandra GD" w:cs="Arial"/>
                <w:sz w:val="18"/>
                <w:szCs w:val="18"/>
                <w:lang w:val="es-ES_tradnl" w:eastAsia="es-ES"/>
              </w:rPr>
            </w:pPr>
            <w:r w:rsidRPr="004E67E1">
              <w:rPr>
                <w:rFonts w:ascii="Maiandra GD" w:eastAsia="Times New Roman" w:hAnsi="Maiandra GD" w:cs="Arial"/>
                <w:sz w:val="18"/>
                <w:szCs w:val="18"/>
                <w:lang w:val="es-ES_tradnl" w:eastAsia="es-ES"/>
              </w:rPr>
              <w:t>Resumen Unidad I</w:t>
            </w:r>
          </w:p>
          <w:p w:rsidR="001E5D5C" w:rsidRPr="004E67E1" w:rsidRDefault="001E5D5C" w:rsidP="001E5D5C">
            <w:pPr>
              <w:rPr>
                <w:rFonts w:ascii="Maiandra GD" w:eastAsia="Times New Roman" w:hAnsi="Maiandra GD" w:cs="Arial"/>
                <w:sz w:val="18"/>
                <w:szCs w:val="18"/>
                <w:lang w:val="es-ES_tradnl" w:eastAsia="es-ES"/>
              </w:rPr>
            </w:pPr>
          </w:p>
        </w:tc>
      </w:tr>
      <w:tr w:rsidR="001E5D5C" w:rsidRPr="004E67E1" w:rsidTr="001E5D5C">
        <w:trPr>
          <w:trHeight w:val="301"/>
        </w:trPr>
        <w:tc>
          <w:tcPr>
            <w:tcW w:w="4537" w:type="dxa"/>
          </w:tcPr>
          <w:p w:rsidR="001E5D5C" w:rsidRDefault="001E5D5C" w:rsidP="001E5D5C">
            <w:pPr>
              <w:rPr>
                <w:rFonts w:ascii="Maiandra GD" w:eastAsia="Times New Roman" w:hAnsi="Maiandra GD" w:cs="Arial"/>
                <w:sz w:val="18"/>
                <w:szCs w:val="18"/>
                <w:lang w:val="es-ES" w:eastAsia="es-ES"/>
              </w:rPr>
            </w:pPr>
            <w:r w:rsidRPr="004E67E1">
              <w:rPr>
                <w:rFonts w:ascii="Maiandra GD" w:eastAsia="Times New Roman" w:hAnsi="Maiandra GD" w:cs="Arial"/>
                <w:sz w:val="18"/>
                <w:szCs w:val="18"/>
                <w:lang w:val="es-ES" w:eastAsia="es-ES"/>
              </w:rPr>
              <w:t>Actividades</w:t>
            </w:r>
            <w:r w:rsidRPr="004E67E1">
              <w:rPr>
                <w:rFonts w:ascii="Maiandra GD" w:eastAsia="Times New Roman" w:hAnsi="Maiandra GD" w:cs="Arial"/>
                <w:i/>
                <w:sz w:val="18"/>
                <w:szCs w:val="18"/>
                <w:lang w:val="es-ES" w:eastAsia="es-ES"/>
              </w:rPr>
              <w:t xml:space="preserve"> </w:t>
            </w:r>
            <w:proofErr w:type="spellStart"/>
            <w:r w:rsidRPr="004E67E1">
              <w:rPr>
                <w:rFonts w:ascii="Maiandra GD" w:eastAsia="Times New Roman" w:hAnsi="Maiandra GD" w:cs="Arial"/>
                <w:i/>
                <w:sz w:val="18"/>
                <w:szCs w:val="18"/>
                <w:lang w:val="es-ES" w:eastAsia="es-ES"/>
              </w:rPr>
              <w:t>on</w:t>
            </w:r>
            <w:proofErr w:type="spellEnd"/>
            <w:r w:rsidRPr="004E67E1">
              <w:rPr>
                <w:rFonts w:ascii="Maiandra GD" w:eastAsia="Times New Roman" w:hAnsi="Maiandra GD" w:cs="Arial"/>
                <w:i/>
                <w:sz w:val="18"/>
                <w:szCs w:val="18"/>
                <w:lang w:val="es-ES" w:eastAsia="es-ES"/>
              </w:rPr>
              <w:t xml:space="preserve"> line</w:t>
            </w:r>
            <w:r w:rsidRPr="004E67E1">
              <w:rPr>
                <w:rFonts w:ascii="Maiandra GD" w:eastAsia="Times New Roman" w:hAnsi="Maiandra GD" w:cs="Arial"/>
                <w:sz w:val="18"/>
                <w:szCs w:val="18"/>
                <w:lang w:val="es-ES" w:eastAsia="es-ES"/>
              </w:rPr>
              <w:t xml:space="preserve"> las (repaso de lecciones y test)</w:t>
            </w:r>
            <w:r w:rsidRPr="004E67E1">
              <w:rPr>
                <w:rFonts w:ascii="Maiandra GD" w:eastAsia="Batang" w:hAnsi="Maiandra GD" w:cs="Arial"/>
                <w:sz w:val="18"/>
                <w:szCs w:val="18"/>
                <w:lang w:val="es-ES"/>
              </w:rPr>
              <w:t xml:space="preserve"> </w:t>
            </w:r>
            <w:r w:rsidRPr="004E67E1">
              <w:rPr>
                <w:rFonts w:ascii="Maiandra GD" w:eastAsia="Times New Roman" w:hAnsi="Maiandra GD" w:cs="Arial"/>
                <w:sz w:val="18"/>
                <w:szCs w:val="18"/>
                <w:lang w:val="es-ES" w:eastAsia="es-ES"/>
              </w:rPr>
              <w:t xml:space="preserve">en el sitio del curso  </w:t>
            </w:r>
          </w:p>
          <w:p w:rsidR="001E5D5C" w:rsidRPr="004E67E1" w:rsidRDefault="001E5D5C" w:rsidP="001E5D5C">
            <w:pPr>
              <w:rPr>
                <w:rFonts w:ascii="Maiandra GD" w:eastAsia="Times New Roman" w:hAnsi="Maiandra GD" w:cs="Arial"/>
                <w:sz w:val="18"/>
                <w:szCs w:val="18"/>
                <w:lang w:val="es-ES_tradnl" w:eastAsia="es-ES"/>
              </w:rPr>
            </w:pPr>
          </w:p>
        </w:tc>
      </w:tr>
      <w:tr w:rsidR="001E5D5C" w:rsidRPr="004E67E1" w:rsidTr="001E5D5C">
        <w:trPr>
          <w:trHeight w:val="553"/>
        </w:trPr>
        <w:tc>
          <w:tcPr>
            <w:tcW w:w="4537" w:type="dxa"/>
          </w:tcPr>
          <w:p w:rsidR="001E5D5C" w:rsidRPr="004E67E1" w:rsidRDefault="001E5D5C" w:rsidP="001E5D5C">
            <w:pPr>
              <w:jc w:val="both"/>
              <w:rPr>
                <w:rFonts w:ascii="Maiandra GD" w:eastAsia="Times New Roman" w:hAnsi="Maiandra GD" w:cs="Arial"/>
                <w:i/>
                <w:sz w:val="18"/>
                <w:szCs w:val="18"/>
                <w:lang w:val="es-ES_tradnl" w:eastAsia="es-ES"/>
              </w:rPr>
            </w:pPr>
            <w:r w:rsidRPr="004E67E1">
              <w:rPr>
                <w:rFonts w:ascii="Maiandra GD" w:eastAsia="Times New Roman" w:hAnsi="Maiandra GD" w:cs="Arial"/>
                <w:sz w:val="18"/>
                <w:szCs w:val="18"/>
                <w:lang w:val="es-ES_tradnl" w:eastAsia="es-ES"/>
              </w:rPr>
              <w:t xml:space="preserve">Prácticas en </w:t>
            </w:r>
            <w:proofErr w:type="gramStart"/>
            <w:r w:rsidRPr="004E67E1">
              <w:rPr>
                <w:rFonts w:ascii="Maiandra GD" w:eastAsia="Times New Roman" w:hAnsi="Maiandra GD" w:cs="Arial"/>
                <w:sz w:val="18"/>
                <w:szCs w:val="18"/>
                <w:lang w:val="es-ES_tradnl" w:eastAsia="es-ES"/>
              </w:rPr>
              <w:t>W</w:t>
            </w:r>
            <w:r w:rsidRPr="004E67E1">
              <w:rPr>
                <w:rFonts w:ascii="Maiandra GD" w:eastAsia="Times New Roman" w:hAnsi="Maiandra GD" w:cs="Arial"/>
                <w:i/>
                <w:sz w:val="18"/>
                <w:szCs w:val="18"/>
                <w:lang w:val="es-ES_tradnl" w:eastAsia="es-ES"/>
              </w:rPr>
              <w:t>ord ,</w:t>
            </w:r>
            <w:proofErr w:type="gramEnd"/>
            <w:r w:rsidRPr="004E67E1">
              <w:rPr>
                <w:rFonts w:ascii="Maiandra GD" w:eastAsia="Times New Roman" w:hAnsi="Maiandra GD" w:cs="Arial"/>
                <w:i/>
                <w:sz w:val="18"/>
                <w:szCs w:val="18"/>
                <w:lang w:val="es-ES_tradnl" w:eastAsia="es-ES"/>
              </w:rPr>
              <w:t xml:space="preserve"> Excel y </w:t>
            </w:r>
            <w:proofErr w:type="spellStart"/>
            <w:r w:rsidRPr="004E67E1">
              <w:rPr>
                <w:rFonts w:ascii="Maiandra GD" w:eastAsia="Times New Roman" w:hAnsi="Maiandra GD" w:cs="Arial"/>
                <w:i/>
                <w:sz w:val="18"/>
                <w:szCs w:val="18"/>
                <w:lang w:val="es-ES_tradnl" w:eastAsia="es-ES"/>
              </w:rPr>
              <w:t>Power</w:t>
            </w:r>
            <w:proofErr w:type="spellEnd"/>
            <w:r w:rsidRPr="004E67E1">
              <w:rPr>
                <w:rFonts w:ascii="Maiandra GD" w:eastAsia="Times New Roman" w:hAnsi="Maiandra GD" w:cs="Arial"/>
                <w:i/>
                <w:sz w:val="18"/>
                <w:szCs w:val="18"/>
                <w:lang w:val="es-ES_tradnl" w:eastAsia="es-ES"/>
              </w:rPr>
              <w:t xml:space="preserve"> </w:t>
            </w:r>
            <w:proofErr w:type="spellStart"/>
            <w:r w:rsidRPr="004E67E1">
              <w:rPr>
                <w:rFonts w:ascii="Maiandra GD" w:eastAsia="Times New Roman" w:hAnsi="Maiandra GD" w:cs="Arial"/>
                <w:i/>
                <w:sz w:val="18"/>
                <w:szCs w:val="18"/>
                <w:lang w:val="es-ES_tradnl" w:eastAsia="es-ES"/>
              </w:rPr>
              <w:t>point</w:t>
            </w:r>
            <w:proofErr w:type="spellEnd"/>
          </w:p>
        </w:tc>
      </w:tr>
      <w:tr w:rsidR="001E5D5C" w:rsidRPr="004E67E1" w:rsidTr="001E5D5C">
        <w:trPr>
          <w:trHeight w:val="353"/>
        </w:trPr>
        <w:tc>
          <w:tcPr>
            <w:tcW w:w="4537" w:type="dxa"/>
          </w:tcPr>
          <w:p w:rsidR="001E5D5C" w:rsidRDefault="001E5D5C" w:rsidP="001E5D5C">
            <w:pPr>
              <w:jc w:val="both"/>
              <w:rPr>
                <w:rFonts w:ascii="Maiandra GD" w:eastAsia="Batang" w:hAnsi="Maiandra GD" w:cs="Arial"/>
                <w:i/>
                <w:sz w:val="18"/>
                <w:szCs w:val="18"/>
              </w:rPr>
            </w:pPr>
            <w:r w:rsidRPr="004E67E1">
              <w:rPr>
                <w:rFonts w:ascii="Maiandra GD" w:eastAsia="Times New Roman" w:hAnsi="Maiandra GD" w:cs="Arial"/>
                <w:sz w:val="18"/>
                <w:szCs w:val="18"/>
                <w:lang w:val="es-ES_tradnl" w:eastAsia="es-ES"/>
              </w:rPr>
              <w:t xml:space="preserve">Almacenamiento </w:t>
            </w:r>
            <w:proofErr w:type="gramStart"/>
            <w:r w:rsidRPr="004E67E1">
              <w:rPr>
                <w:rFonts w:ascii="Maiandra GD" w:eastAsia="Times New Roman" w:hAnsi="Maiandra GD" w:cs="Arial"/>
                <w:sz w:val="18"/>
                <w:szCs w:val="18"/>
                <w:lang w:val="es-ES_tradnl" w:eastAsia="es-ES"/>
              </w:rPr>
              <w:t xml:space="preserve">en </w:t>
            </w:r>
            <w:r w:rsidRPr="004E67E1">
              <w:rPr>
                <w:rFonts w:ascii="Maiandra GD" w:eastAsia="Batang" w:hAnsi="Maiandra GD" w:cs="Arial"/>
                <w:i/>
                <w:sz w:val="18"/>
                <w:szCs w:val="18"/>
              </w:rPr>
              <w:t xml:space="preserve"> Google</w:t>
            </w:r>
            <w:proofErr w:type="gramEnd"/>
            <w:r w:rsidRPr="004E67E1">
              <w:rPr>
                <w:rFonts w:ascii="Maiandra GD" w:eastAsia="Batang" w:hAnsi="Maiandra GD" w:cs="Arial"/>
                <w:i/>
                <w:sz w:val="18"/>
                <w:szCs w:val="18"/>
              </w:rPr>
              <w:t xml:space="preserve"> Drive, </w:t>
            </w:r>
            <w:proofErr w:type="spellStart"/>
            <w:r w:rsidRPr="004E67E1">
              <w:rPr>
                <w:rFonts w:ascii="Maiandra GD" w:eastAsia="Batang" w:hAnsi="Maiandra GD" w:cs="Arial"/>
                <w:i/>
                <w:sz w:val="18"/>
                <w:szCs w:val="18"/>
              </w:rPr>
              <w:t>One</w:t>
            </w:r>
            <w:proofErr w:type="spellEnd"/>
            <w:r w:rsidRPr="004E67E1">
              <w:rPr>
                <w:rFonts w:ascii="Maiandra GD" w:eastAsia="Batang" w:hAnsi="Maiandra GD" w:cs="Arial"/>
                <w:i/>
                <w:sz w:val="18"/>
                <w:szCs w:val="18"/>
              </w:rPr>
              <w:t xml:space="preserve"> Drive </w:t>
            </w:r>
            <w:r w:rsidRPr="004E67E1">
              <w:rPr>
                <w:rFonts w:ascii="Maiandra GD" w:eastAsia="Batang" w:hAnsi="Maiandra GD" w:cs="Arial"/>
                <w:sz w:val="18"/>
                <w:szCs w:val="18"/>
              </w:rPr>
              <w:t xml:space="preserve">y </w:t>
            </w:r>
            <w:r w:rsidRPr="004E67E1">
              <w:rPr>
                <w:rFonts w:ascii="Maiandra GD" w:eastAsia="Batang" w:hAnsi="Maiandra GD" w:cs="Arial"/>
                <w:i/>
                <w:sz w:val="18"/>
                <w:szCs w:val="18"/>
              </w:rPr>
              <w:t>Dropbox</w:t>
            </w:r>
          </w:p>
          <w:p w:rsidR="001E5D5C" w:rsidRPr="004E67E1" w:rsidRDefault="001E5D5C" w:rsidP="001E5D5C">
            <w:pPr>
              <w:jc w:val="both"/>
              <w:rPr>
                <w:rFonts w:ascii="Maiandra GD" w:eastAsia="Times New Roman" w:hAnsi="Maiandra GD" w:cs="Arial"/>
                <w:sz w:val="18"/>
                <w:szCs w:val="18"/>
                <w:lang w:val="es-ES_tradnl" w:eastAsia="es-ES"/>
              </w:rPr>
            </w:pPr>
          </w:p>
        </w:tc>
      </w:tr>
      <w:tr w:rsidR="001E5D5C" w:rsidRPr="004E67E1" w:rsidTr="001E5D5C">
        <w:trPr>
          <w:trHeight w:val="353"/>
        </w:trPr>
        <w:tc>
          <w:tcPr>
            <w:tcW w:w="4537" w:type="dxa"/>
          </w:tcPr>
          <w:p w:rsidR="001E5D5C" w:rsidRDefault="001E5D5C" w:rsidP="001E5D5C">
            <w:pPr>
              <w:jc w:val="both"/>
              <w:rPr>
                <w:rFonts w:ascii="Maiandra GD" w:eastAsia="Times New Roman" w:hAnsi="Maiandra GD" w:cs="Arial"/>
                <w:bCs/>
                <w:iCs/>
                <w:sz w:val="18"/>
                <w:szCs w:val="18"/>
                <w:lang w:val="es-ES" w:eastAsia="es-ES"/>
              </w:rPr>
            </w:pPr>
            <w:r w:rsidRPr="00BE3BF5">
              <w:rPr>
                <w:rFonts w:ascii="Maiandra GD" w:eastAsia="Times New Roman" w:hAnsi="Maiandra GD" w:cs="Arial"/>
                <w:bCs/>
                <w:iCs/>
                <w:sz w:val="18"/>
                <w:szCs w:val="18"/>
                <w:lang w:val="es-ES" w:eastAsia="es-ES"/>
              </w:rPr>
              <w:t>Diseñ</w:t>
            </w:r>
            <w:r>
              <w:rPr>
                <w:rFonts w:ascii="Maiandra GD" w:eastAsia="Times New Roman" w:hAnsi="Maiandra GD" w:cs="Arial"/>
                <w:bCs/>
                <w:iCs/>
                <w:sz w:val="18"/>
                <w:szCs w:val="18"/>
                <w:lang w:val="es-ES" w:eastAsia="es-ES"/>
              </w:rPr>
              <w:t>o de</w:t>
            </w:r>
            <w:r w:rsidRPr="00BE3BF5">
              <w:rPr>
                <w:rFonts w:ascii="Maiandra GD" w:eastAsia="Times New Roman" w:hAnsi="Maiandra GD" w:cs="Arial"/>
                <w:bCs/>
                <w:iCs/>
                <w:sz w:val="18"/>
                <w:szCs w:val="18"/>
                <w:lang w:val="es-ES" w:eastAsia="es-ES"/>
              </w:rPr>
              <w:t xml:space="preserve"> una infografía y un material audiovisual básico</w:t>
            </w:r>
          </w:p>
          <w:p w:rsidR="001E5D5C" w:rsidRPr="004E67E1" w:rsidRDefault="001E5D5C" w:rsidP="001E5D5C">
            <w:pPr>
              <w:jc w:val="both"/>
              <w:rPr>
                <w:rFonts w:ascii="Maiandra GD" w:eastAsia="Times New Roman" w:hAnsi="Maiandra GD" w:cs="Arial"/>
                <w:bCs/>
                <w:iCs/>
                <w:sz w:val="18"/>
                <w:szCs w:val="18"/>
                <w:lang w:eastAsia="es-ES"/>
              </w:rPr>
            </w:pPr>
          </w:p>
        </w:tc>
      </w:tr>
      <w:tr w:rsidR="001E5D5C" w:rsidRPr="004E67E1" w:rsidTr="001E5D5C">
        <w:trPr>
          <w:trHeight w:val="353"/>
        </w:trPr>
        <w:tc>
          <w:tcPr>
            <w:tcW w:w="4537" w:type="dxa"/>
          </w:tcPr>
          <w:p w:rsidR="001E5D5C" w:rsidRDefault="001E5D5C" w:rsidP="001E5D5C">
            <w:pPr>
              <w:jc w:val="both"/>
              <w:rPr>
                <w:rFonts w:ascii="Maiandra GD" w:eastAsia="Times New Roman" w:hAnsi="Maiandra GD" w:cs="Arial"/>
                <w:bCs/>
                <w:i/>
                <w:iCs/>
                <w:sz w:val="18"/>
                <w:szCs w:val="18"/>
                <w:lang w:eastAsia="es-ES"/>
              </w:rPr>
            </w:pPr>
            <w:r w:rsidRPr="00BE3BF5">
              <w:rPr>
                <w:rFonts w:ascii="Maiandra GD" w:eastAsia="Times New Roman" w:hAnsi="Maiandra GD" w:cs="Arial"/>
                <w:bCs/>
                <w:iCs/>
                <w:sz w:val="18"/>
                <w:szCs w:val="18"/>
                <w:lang w:val="es-ES" w:eastAsia="es-ES"/>
              </w:rPr>
              <w:t>Elaboración de mapas cognitivos</w:t>
            </w:r>
            <w:r>
              <w:rPr>
                <w:rFonts w:ascii="Maiandra GD" w:eastAsia="Times New Roman" w:hAnsi="Maiandra GD" w:cs="Arial"/>
                <w:bCs/>
                <w:iCs/>
                <w:sz w:val="18"/>
                <w:szCs w:val="18"/>
                <w:lang w:val="es-ES" w:eastAsia="es-ES"/>
              </w:rPr>
              <w:t xml:space="preserve"> sobre la secuencia de navegación en los sitios: </w:t>
            </w:r>
            <w:r w:rsidRPr="00BE3BF5">
              <w:rPr>
                <w:rFonts w:ascii="Arial" w:eastAsia="Times New Roman" w:hAnsi="Arial" w:cs="Arial"/>
                <w:color w:val="000000" w:themeColor="text1"/>
                <w:sz w:val="18"/>
                <w:szCs w:val="18"/>
                <w:lang w:val="es-ES" w:eastAsia="ar-SA"/>
              </w:rPr>
              <w:t xml:space="preserve"> </w:t>
            </w:r>
            <w:r w:rsidRPr="00BE3BF5">
              <w:rPr>
                <w:rFonts w:ascii="Maiandra GD" w:eastAsia="Times New Roman" w:hAnsi="Maiandra GD" w:cs="Arial"/>
                <w:bCs/>
                <w:iCs/>
                <w:sz w:val="18"/>
                <w:szCs w:val="18"/>
                <w:lang w:val="es-ES" w:eastAsia="es-ES"/>
              </w:rPr>
              <w:t xml:space="preserve">sitios indicados:  </w:t>
            </w:r>
            <w:proofErr w:type="spellStart"/>
            <w:r w:rsidRPr="00BE3BF5">
              <w:rPr>
                <w:rFonts w:ascii="Maiandra GD" w:eastAsia="Times New Roman" w:hAnsi="Maiandra GD" w:cs="Arial"/>
                <w:bCs/>
                <w:i/>
                <w:iCs/>
                <w:sz w:val="18"/>
                <w:szCs w:val="18"/>
                <w:lang w:eastAsia="es-ES"/>
              </w:rPr>
              <w:t>Scholar</w:t>
            </w:r>
            <w:proofErr w:type="spellEnd"/>
            <w:r w:rsidRPr="00BE3BF5">
              <w:rPr>
                <w:rFonts w:ascii="Maiandra GD" w:eastAsia="Times New Roman" w:hAnsi="Maiandra GD" w:cs="Arial"/>
                <w:bCs/>
                <w:i/>
                <w:iCs/>
                <w:sz w:val="18"/>
                <w:szCs w:val="18"/>
                <w:lang w:eastAsia="es-ES"/>
              </w:rPr>
              <w:t xml:space="preserve"> Google, </w:t>
            </w:r>
            <w:r w:rsidRPr="00BE3BF5">
              <w:rPr>
                <w:rFonts w:ascii="Maiandra GD" w:eastAsia="Times New Roman" w:hAnsi="Maiandra GD" w:cs="Arial"/>
                <w:bCs/>
                <w:iCs/>
                <w:sz w:val="18"/>
                <w:szCs w:val="18"/>
                <w:lang w:eastAsia="es-ES"/>
              </w:rPr>
              <w:t>Biblioteca digital de la Universidad de Ixtlahuaca CUI, bases de datos:</w:t>
            </w:r>
            <w:r w:rsidRPr="00BE3BF5">
              <w:rPr>
                <w:rFonts w:ascii="Maiandra GD" w:eastAsia="Times New Roman" w:hAnsi="Maiandra GD" w:cs="Arial"/>
                <w:bCs/>
                <w:i/>
                <w:iCs/>
                <w:sz w:val="18"/>
                <w:szCs w:val="18"/>
                <w:lang w:eastAsia="es-ES"/>
              </w:rPr>
              <w:t xml:space="preserve"> Redalyc, Scielo, Elsevier, </w:t>
            </w:r>
            <w:proofErr w:type="spellStart"/>
            <w:r w:rsidRPr="00BE3BF5">
              <w:rPr>
                <w:rFonts w:ascii="Maiandra GD" w:eastAsia="Times New Roman" w:hAnsi="Maiandra GD" w:cs="Arial"/>
                <w:bCs/>
                <w:i/>
                <w:iCs/>
                <w:sz w:val="18"/>
                <w:szCs w:val="18"/>
                <w:lang w:eastAsia="es-ES"/>
              </w:rPr>
              <w:t>Pubmed</w:t>
            </w:r>
            <w:proofErr w:type="spellEnd"/>
          </w:p>
          <w:p w:rsidR="001E5D5C" w:rsidRPr="004E67E1" w:rsidRDefault="001E5D5C" w:rsidP="001E5D5C">
            <w:pPr>
              <w:jc w:val="both"/>
              <w:rPr>
                <w:rFonts w:ascii="Maiandra GD" w:eastAsia="Times New Roman" w:hAnsi="Maiandra GD" w:cs="Arial"/>
                <w:bCs/>
                <w:iCs/>
                <w:sz w:val="18"/>
                <w:szCs w:val="18"/>
                <w:lang w:eastAsia="es-ES"/>
              </w:rPr>
            </w:pPr>
          </w:p>
        </w:tc>
      </w:tr>
      <w:tr w:rsidR="001E5D5C" w:rsidRPr="004E67E1" w:rsidTr="001E5D5C">
        <w:trPr>
          <w:trHeight w:val="353"/>
        </w:trPr>
        <w:tc>
          <w:tcPr>
            <w:tcW w:w="4537" w:type="dxa"/>
          </w:tcPr>
          <w:p w:rsidR="001E5D5C" w:rsidRDefault="001E5D5C" w:rsidP="001E5D5C">
            <w:pPr>
              <w:jc w:val="both"/>
              <w:rPr>
                <w:rFonts w:ascii="Maiandra GD" w:eastAsia="Times New Roman" w:hAnsi="Maiandra GD" w:cs="Arial"/>
                <w:bCs/>
                <w:iCs/>
                <w:sz w:val="18"/>
                <w:szCs w:val="18"/>
                <w:lang w:eastAsia="es-ES"/>
              </w:rPr>
            </w:pPr>
            <w:r>
              <w:rPr>
                <w:rFonts w:ascii="Maiandra GD" w:eastAsia="Times New Roman" w:hAnsi="Maiandra GD" w:cs="Arial"/>
                <w:bCs/>
                <w:iCs/>
                <w:sz w:val="18"/>
                <w:szCs w:val="18"/>
                <w:lang w:eastAsia="es-ES"/>
              </w:rPr>
              <w:t xml:space="preserve">Exposición </w:t>
            </w:r>
            <w:r w:rsidRPr="00BE3BF5">
              <w:rPr>
                <w:rFonts w:ascii="Maiandra GD" w:eastAsia="Times New Roman" w:hAnsi="Maiandra GD" w:cs="Arial"/>
                <w:bCs/>
                <w:iCs/>
                <w:sz w:val="18"/>
                <w:szCs w:val="18"/>
                <w:lang w:eastAsia="es-ES"/>
              </w:rPr>
              <w:t>TIC aplicadas a la Nutrición</w:t>
            </w:r>
          </w:p>
          <w:p w:rsidR="001E5D5C" w:rsidRPr="004E67E1" w:rsidRDefault="001E5D5C" w:rsidP="001E5D5C">
            <w:pPr>
              <w:jc w:val="both"/>
              <w:rPr>
                <w:rFonts w:ascii="Maiandra GD" w:eastAsia="Times New Roman" w:hAnsi="Maiandra GD" w:cs="Arial"/>
                <w:bCs/>
                <w:iCs/>
                <w:sz w:val="18"/>
                <w:szCs w:val="18"/>
                <w:lang w:eastAsia="es-ES"/>
              </w:rPr>
            </w:pPr>
          </w:p>
        </w:tc>
      </w:tr>
    </w:tbl>
    <w:p w:rsidR="007E7292" w:rsidRPr="00615399" w:rsidRDefault="007E7292" w:rsidP="007E7292">
      <w:pPr>
        <w:spacing w:after="0"/>
        <w:jc w:val="center"/>
        <w:rPr>
          <w:rFonts w:ascii="Maiandra GD" w:hAnsi="Maiandra GD"/>
          <w:sz w:val="24"/>
          <w:szCs w:val="24"/>
        </w:rPr>
      </w:pPr>
      <w:bookmarkStart w:id="0" w:name="_GoBack"/>
      <w:bookmarkEnd w:id="0"/>
    </w:p>
    <w:p w:rsidR="007E7292" w:rsidRPr="00615399" w:rsidRDefault="007E7292" w:rsidP="007E7292">
      <w:pPr>
        <w:spacing w:after="0"/>
        <w:jc w:val="center"/>
        <w:rPr>
          <w:rFonts w:ascii="Maiandra GD" w:hAnsi="Maiandra GD"/>
          <w:sz w:val="24"/>
          <w:szCs w:val="24"/>
        </w:rPr>
      </w:pPr>
    </w:p>
    <w:p w:rsidR="00AE7D5C" w:rsidRPr="00615399" w:rsidRDefault="00AE7D5C">
      <w:pPr>
        <w:rPr>
          <w:rFonts w:ascii="Maiandra GD" w:hAnsi="Maiandra GD"/>
        </w:rPr>
      </w:pPr>
    </w:p>
    <w:sectPr w:rsidR="00AE7D5C" w:rsidRPr="00615399" w:rsidSect="00D003D1">
      <w:pgSz w:w="15840" w:h="1224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A65D8"/>
    <w:multiLevelType w:val="hybridMultilevel"/>
    <w:tmpl w:val="725EF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1412A1"/>
    <w:multiLevelType w:val="hybridMultilevel"/>
    <w:tmpl w:val="9F701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E140F5"/>
    <w:multiLevelType w:val="hybridMultilevel"/>
    <w:tmpl w:val="63AAF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F1C17"/>
    <w:multiLevelType w:val="hybridMultilevel"/>
    <w:tmpl w:val="EFDA24F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3507E4"/>
    <w:multiLevelType w:val="hybridMultilevel"/>
    <w:tmpl w:val="0B5C0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B858CD"/>
    <w:multiLevelType w:val="hybridMultilevel"/>
    <w:tmpl w:val="A162C7FA"/>
    <w:lvl w:ilvl="0" w:tplc="8E68A0FE">
      <w:start w:val="1"/>
      <w:numFmt w:val="decimal"/>
      <w:lvlText w:val="%1."/>
      <w:lvlJc w:val="left"/>
      <w:pPr>
        <w:ind w:left="720" w:hanging="360"/>
      </w:pPr>
      <w:rPr>
        <w:rFonts w:ascii="Arial" w:eastAsia="Times New Roman" w:hAnsi="Arial" w:cs="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292"/>
    <w:rsid w:val="00056D30"/>
    <w:rsid w:val="0008048D"/>
    <w:rsid w:val="000928E1"/>
    <w:rsid w:val="001E5D5C"/>
    <w:rsid w:val="00235FB4"/>
    <w:rsid w:val="002A4B87"/>
    <w:rsid w:val="002B0A19"/>
    <w:rsid w:val="002B1B03"/>
    <w:rsid w:val="003D472F"/>
    <w:rsid w:val="00425B7A"/>
    <w:rsid w:val="00472A39"/>
    <w:rsid w:val="004A1ACF"/>
    <w:rsid w:val="004D3DA6"/>
    <w:rsid w:val="004E67E1"/>
    <w:rsid w:val="0052269A"/>
    <w:rsid w:val="00532DAF"/>
    <w:rsid w:val="00586266"/>
    <w:rsid w:val="00615399"/>
    <w:rsid w:val="00663ADA"/>
    <w:rsid w:val="007004CA"/>
    <w:rsid w:val="00714EBA"/>
    <w:rsid w:val="00760629"/>
    <w:rsid w:val="007C1971"/>
    <w:rsid w:val="007E7292"/>
    <w:rsid w:val="00814DF4"/>
    <w:rsid w:val="008C1FBA"/>
    <w:rsid w:val="009A2E99"/>
    <w:rsid w:val="009B502F"/>
    <w:rsid w:val="00A129B5"/>
    <w:rsid w:val="00A6617D"/>
    <w:rsid w:val="00AA088C"/>
    <w:rsid w:val="00AE7D5C"/>
    <w:rsid w:val="00B549C3"/>
    <w:rsid w:val="00B94565"/>
    <w:rsid w:val="00BE3BF5"/>
    <w:rsid w:val="00BF3891"/>
    <w:rsid w:val="00C24B44"/>
    <w:rsid w:val="00C76C30"/>
    <w:rsid w:val="00D0691A"/>
    <w:rsid w:val="00D2395C"/>
    <w:rsid w:val="00D6506C"/>
    <w:rsid w:val="00DB2601"/>
    <w:rsid w:val="00E042D0"/>
    <w:rsid w:val="00E23CED"/>
    <w:rsid w:val="00E32509"/>
    <w:rsid w:val="00E478D6"/>
    <w:rsid w:val="00EB1665"/>
    <w:rsid w:val="00EB7A67"/>
    <w:rsid w:val="00ED13E5"/>
    <w:rsid w:val="00F84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A3CA"/>
  <w15:docId w15:val="{1C80D3D0-2394-4329-8E84-86813B8E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7292"/>
    <w:pPr>
      <w:ind w:left="720"/>
      <w:contextualSpacing/>
    </w:pPr>
  </w:style>
  <w:style w:type="character" w:styleId="Hipervnculo">
    <w:name w:val="Hyperlink"/>
    <w:basedOn w:val="Fuentedeprrafopredeter"/>
    <w:uiPriority w:val="99"/>
    <w:unhideWhenUsed/>
    <w:rsid w:val="007E7292"/>
    <w:rPr>
      <w:color w:val="0000FF" w:themeColor="hyperlink"/>
      <w:u w:val="single"/>
    </w:rPr>
  </w:style>
  <w:style w:type="paragraph" w:styleId="Textodeglobo">
    <w:name w:val="Balloon Text"/>
    <w:basedOn w:val="Normal"/>
    <w:link w:val="TextodegloboCar"/>
    <w:uiPriority w:val="99"/>
    <w:semiHidden/>
    <w:unhideWhenUsed/>
    <w:rsid w:val="007E72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292"/>
    <w:rPr>
      <w:rFonts w:ascii="Tahoma" w:hAnsi="Tahoma" w:cs="Tahoma"/>
      <w:sz w:val="16"/>
      <w:szCs w:val="16"/>
    </w:rPr>
  </w:style>
  <w:style w:type="paragraph" w:styleId="Sangra2detindependiente">
    <w:name w:val="Body Text Indent 2"/>
    <w:basedOn w:val="Normal"/>
    <w:link w:val="Sangra2detindependienteCar"/>
    <w:uiPriority w:val="99"/>
    <w:unhideWhenUsed/>
    <w:rsid w:val="00615399"/>
    <w:pPr>
      <w:spacing w:after="0" w:line="240" w:lineRule="auto"/>
    </w:pPr>
    <w:rPr>
      <w:rFonts w:ascii="Times New Roman" w:eastAsia="Times New Roman" w:hAnsi="Times New Roman" w:cs="Times New Roman"/>
      <w:color w:val="000000"/>
      <w:kern w:val="28"/>
      <w:sz w:val="20"/>
      <w:szCs w:val="20"/>
      <w:lang w:val="x-none" w:eastAsia="es-MX"/>
    </w:rPr>
  </w:style>
  <w:style w:type="character" w:customStyle="1" w:styleId="Sangra2detindependienteCar">
    <w:name w:val="Sangría 2 de t. independiente Car"/>
    <w:basedOn w:val="Fuentedeprrafopredeter"/>
    <w:link w:val="Sangra2detindependiente"/>
    <w:uiPriority w:val="99"/>
    <w:rsid w:val="00615399"/>
    <w:rPr>
      <w:rFonts w:ascii="Times New Roman" w:eastAsia="Times New Roman" w:hAnsi="Times New Roman" w:cs="Times New Roman"/>
      <w:color w:val="000000"/>
      <w:kern w:val="28"/>
      <w:sz w:val="20"/>
      <w:szCs w:val="20"/>
      <w:lang w:val="x-none" w:eastAsia="es-MX"/>
    </w:rPr>
  </w:style>
  <w:style w:type="character" w:styleId="Mencinsinresolver">
    <w:name w:val="Unresolved Mention"/>
    <w:basedOn w:val="Fuentedeprrafopredeter"/>
    <w:uiPriority w:val="99"/>
    <w:semiHidden/>
    <w:unhideWhenUsed/>
    <w:rsid w:val="00E04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mx/" TargetMode="External"/><Relationship Id="rId13" Type="http://schemas.openxmlformats.org/officeDocument/2006/relationships/hyperlink" Target="http://www.nutrimind.net/"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iblioteca.uicui.edu.mx/index.php" TargetMode="External"/><Relationship Id="rId12" Type="http://schemas.openxmlformats.org/officeDocument/2006/relationships/hyperlink" Target="http://www.scielo.org/php/index.php?lang=es" TargetMode="External"/><Relationship Id="rId17" Type="http://schemas.openxmlformats.org/officeDocument/2006/relationships/hyperlink" Target="http://www.stata.com" TargetMode="External"/><Relationship Id="rId2" Type="http://schemas.openxmlformats.org/officeDocument/2006/relationships/styles" Target="styles.xml"/><Relationship Id="rId16" Type="http://schemas.openxmlformats.org/officeDocument/2006/relationships/hyperlink" Target="http://www.spssfre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tecadigital.uaemex.mx/contador/basesdedatos1.php" TargetMode="External"/><Relationship Id="rId11" Type="http://schemas.openxmlformats.org/officeDocument/2006/relationships/hyperlink" Target="https://www.elsevier.es/corp/" TargetMode="External"/><Relationship Id="rId5" Type="http://schemas.openxmlformats.org/officeDocument/2006/relationships/hyperlink" Target="https://www.marcprensky.com/writing/PrenskyNATIVOS%20E%20INMIGRANTES%20DIGITALES%20(SEK).pdf" TargetMode="External"/><Relationship Id="rId15" Type="http://schemas.openxmlformats.org/officeDocument/2006/relationships/hyperlink" Target="http://nutrikcal.mx/NutrikcalSA.htm" TargetMode="External"/><Relationship Id="rId10" Type="http://schemas.openxmlformats.org/officeDocument/2006/relationships/hyperlink" Target="http://www.redaly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 TargetMode="External"/><Relationship Id="rId14" Type="http://schemas.openxmlformats.org/officeDocument/2006/relationships/hyperlink" Target="http://nutrikcal.mx/NutrikcalV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1509</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Ƹ̵̡Ӝ̵̨̄Ʒ°Ere° Moreno  Zaldivar Ƹ̵̡Ӝ̵̨̄Ʒ</cp:lastModifiedBy>
  <cp:revision>30</cp:revision>
  <cp:lastPrinted>2019-01-31T11:38:00Z</cp:lastPrinted>
  <dcterms:created xsi:type="dcterms:W3CDTF">2012-02-01T02:23:00Z</dcterms:created>
  <dcterms:modified xsi:type="dcterms:W3CDTF">2019-01-31T11:43:00Z</dcterms:modified>
</cp:coreProperties>
</file>